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0EAB31">
      <w:pPr>
        <w:jc w:val="center"/>
        <w:rPr>
          <w:rFonts w:hint="eastAsia" w:ascii="微软雅黑" w:hAnsi="微软雅黑" w:eastAsia="微软雅黑"/>
          <w:b/>
          <w:sz w:val="36"/>
        </w:rPr>
      </w:pPr>
      <w:r>
        <w:rPr>
          <w:rFonts w:hint="eastAsia" w:ascii="微软雅黑" w:hAnsi="微软雅黑" w:eastAsia="微软雅黑"/>
          <w:b/>
          <w:sz w:val="36"/>
        </w:rPr>
        <w:t>2025 深圳食品及加工包装展览会</w:t>
      </w:r>
    </w:p>
    <w:p w14:paraId="1EB8D0E6">
      <w:pPr>
        <w:jc w:val="center"/>
        <w:rPr>
          <w:rFonts w:hint="eastAsia" w:ascii="微软雅黑" w:hAnsi="微软雅黑" w:eastAsia="微软雅黑"/>
          <w:b/>
          <w:bCs/>
          <w:sz w:val="28"/>
          <w:szCs w:val="32"/>
        </w:rPr>
      </w:pPr>
      <w:r>
        <w:rPr>
          <w:rFonts w:hint="eastAsia" w:ascii="微软雅黑" w:hAnsi="微软雅黑" w:eastAsia="微软雅黑"/>
          <w:b/>
          <w:bCs/>
          <w:sz w:val="28"/>
          <w:szCs w:val="32"/>
        </w:rPr>
        <w:t>ProPak Shenzhen</w:t>
      </w:r>
    </w:p>
    <w:p w14:paraId="7FABF558">
      <w:pPr>
        <w:spacing w:line="288" w:lineRule="auto"/>
        <w:jc w:val="center"/>
        <w:rPr>
          <w:rFonts w:hint="eastAsia" w:ascii="微软雅黑" w:hAnsi="微软雅黑" w:eastAsia="微软雅黑"/>
          <w:b/>
          <w:sz w:val="36"/>
        </w:rPr>
      </w:pPr>
      <w:r>
        <w:rPr>
          <w:rFonts w:ascii="微软雅黑" w:hAnsi="微软雅黑" w:eastAsia="微软雅黑"/>
          <w:b/>
          <w:sz w:val="36"/>
        </w:rPr>
        <w:t>邀请函</w:t>
      </w:r>
    </w:p>
    <w:p w14:paraId="5E4553B0">
      <w:pPr>
        <w:pStyle w:val="38"/>
        <w:spacing w:before="0" w:beforeAutospacing="0" w:after="0" w:afterAutospacing="0" w:line="400" w:lineRule="exact"/>
        <w:ind w:left="-282" w:leftChars="-135" w:right="-30" w:hanging="1"/>
        <w:jc w:val="both"/>
        <w:textAlignment w:val="baseline"/>
        <w:rPr>
          <w:rStyle w:val="39"/>
          <w:rFonts w:hint="eastAsia" w:ascii="微软雅黑" w:hAnsi="微软雅黑" w:eastAsia="微软雅黑" w:cs="Segoe UI"/>
          <w:color w:val="000000"/>
          <w:sz w:val="21"/>
          <w:szCs w:val="21"/>
        </w:rPr>
      </w:pPr>
    </w:p>
    <w:p w14:paraId="683E42BD">
      <w:pPr>
        <w:pStyle w:val="38"/>
        <w:spacing w:before="0" w:beforeAutospacing="0" w:after="0" w:afterAutospacing="0" w:line="400" w:lineRule="exact"/>
        <w:ind w:left="-282" w:leftChars="-135" w:right="-30" w:hanging="1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39"/>
          <w:rFonts w:hint="eastAsia" w:ascii="微软雅黑" w:hAnsi="微软雅黑" w:eastAsia="微软雅黑" w:cs="Segoe UI"/>
          <w:color w:val="000000"/>
          <w:sz w:val="21"/>
          <w:szCs w:val="21"/>
        </w:rPr>
        <w:t>展会名称：深圳食品及加工包装展览会（ProPak Shenzhen 2025）</w:t>
      </w:r>
    </w:p>
    <w:p w14:paraId="379343B9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39"/>
          <w:rFonts w:hint="eastAsia" w:ascii="微软雅黑" w:hAnsi="微软雅黑" w:eastAsia="微软雅黑" w:cs="Segoe UI"/>
          <w:color w:val="000000"/>
          <w:sz w:val="21"/>
          <w:szCs w:val="21"/>
        </w:rPr>
        <w:t>展会时间：</w:t>
      </w:r>
      <w:r>
        <w:rPr>
          <w:rStyle w:val="39"/>
          <w:rFonts w:ascii="微软雅黑" w:hAnsi="微软雅黑" w:eastAsia="微软雅黑" w:cs="Segoe UI"/>
          <w:color w:val="000000"/>
          <w:sz w:val="21"/>
          <w:szCs w:val="21"/>
        </w:rPr>
        <w:t>2025年12月16-18日</w:t>
      </w:r>
    </w:p>
    <w:p w14:paraId="2799DBBD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39"/>
          <w:rFonts w:hint="eastAsia" w:ascii="微软雅黑" w:hAnsi="微软雅黑" w:eastAsia="微软雅黑" w:cs="Segoe UI"/>
          <w:color w:val="000000"/>
          <w:sz w:val="21"/>
          <w:szCs w:val="21"/>
        </w:rPr>
        <w:t>展会地点：深圳国际会展中心（宝安新馆）</w:t>
      </w:r>
    </w:p>
    <w:p w14:paraId="23E32B2E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Style w:val="39"/>
          <w:rFonts w:hint="eastAsia" w:ascii="微软雅黑" w:hAnsi="微软雅黑" w:eastAsia="微软雅黑" w:cs="Segoe UI"/>
          <w:color w:val="000000"/>
          <w:sz w:val="21"/>
          <w:szCs w:val="21"/>
        </w:rPr>
        <w:t>同期举办：深圳国际酒店及餐饮业博览会、深圳国际健康与营养保健品展</w:t>
      </w:r>
    </w:p>
    <w:p w14:paraId="4BCBB233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/>
          <w:color w:val="000000"/>
          <w:sz w:val="21"/>
          <w:szCs w:val="21"/>
        </w:rPr>
      </w:pPr>
      <w:r>
        <w:rPr>
          <w:rStyle w:val="39"/>
          <w:rFonts w:hint="eastAsia" w:ascii="微软雅黑" w:hAnsi="微软雅黑" w:eastAsia="微软雅黑" w:cs="Segoe UI"/>
          <w:color w:val="000000"/>
          <w:sz w:val="21"/>
          <w:szCs w:val="21"/>
        </w:rPr>
        <w:t>主办单位：上海博华国际展览有限公司</w:t>
      </w:r>
    </w:p>
    <w:p w14:paraId="2C87C732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Style w:val="39"/>
          <w:rFonts w:hint="eastAsia" w:ascii="微软雅黑" w:hAnsi="微软雅黑" w:eastAsia="微软雅黑" w:cs="Segoe UI"/>
          <w:color w:val="000000"/>
          <w:sz w:val="21"/>
          <w:szCs w:val="21"/>
        </w:rPr>
        <w:t>官方网站：</w:t>
      </w:r>
      <w:r>
        <w:fldChar w:fldCharType="begin"/>
      </w:r>
      <w:r>
        <w:instrText xml:space="preserve"> HYPERLINK "https://www.propakchina.com/sz" </w:instrText>
      </w:r>
      <w:r>
        <w:fldChar w:fldCharType="separate"/>
      </w:r>
      <w:r>
        <w:rPr>
          <w:rStyle w:val="18"/>
          <w:rFonts w:hint="eastAsia" w:ascii="微软雅黑" w:hAnsi="微软雅黑" w:eastAsia="微软雅黑" w:cs="Segoe UI"/>
          <w:sz w:val="21"/>
          <w:szCs w:val="21"/>
        </w:rPr>
        <w:t>https://www.propakchina.com/sz</w:t>
      </w:r>
      <w:r>
        <w:rPr>
          <w:rStyle w:val="18"/>
          <w:rFonts w:hint="eastAsia" w:ascii="微软雅黑" w:hAnsi="微软雅黑" w:eastAsia="微软雅黑" w:cs="Segoe UI"/>
          <w:sz w:val="21"/>
          <w:szCs w:val="21"/>
        </w:rPr>
        <w:fldChar w:fldCharType="end"/>
      </w:r>
    </w:p>
    <w:p w14:paraId="4412A9DD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 w:cs="Segoe UI"/>
          <w:b/>
          <w:bCs/>
          <w:color w:val="000000"/>
          <w:sz w:val="30"/>
          <w:szCs w:val="30"/>
        </w:rPr>
      </w:pPr>
    </w:p>
    <w:p w14:paraId="19F902AC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Fonts w:ascii="Segoe UI" w:hAnsi="Segoe UI" w:cs="Segoe UI"/>
          <w:sz w:val="16"/>
          <w:szCs w:val="16"/>
        </w:rPr>
      </w:pPr>
      <w:r>
        <w:rPr>
          <w:rStyle w:val="39"/>
          <w:rFonts w:hint="eastAsia" w:ascii="微软雅黑" w:hAnsi="微软雅黑" w:eastAsia="微软雅黑" w:cs="Segoe UI"/>
          <w:b/>
          <w:bCs/>
          <w:color w:val="000000"/>
        </w:rPr>
        <w:t>展会介绍</w:t>
      </w:r>
    </w:p>
    <w:p w14:paraId="255F69BF">
      <w:pPr>
        <w:pStyle w:val="38"/>
        <w:spacing w:before="0" w:beforeAutospacing="0" w:after="0" w:afterAutospacing="0" w:line="400" w:lineRule="exact"/>
        <w:ind w:left="-283" w:leftChars="-135" w:firstLine="420" w:firstLineChars="200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由上海博华国际展览有限公司主办的"2025深圳食品及加工包装展览会"将于12月16-18日在深圳国际会展中心（宝安新馆）盛大开展。本届展会聚焦食品加工与包装全产业链，涵盖加工与包装设备、包装材料与标签、智能装备及智慧物流等领域，汇聚全球行业龙头品牌，为食品、饮料、健康食品、调味品、乳制品、生鲜及预制食品企业提供一站式商贸平台，助力行业创新升级！</w:t>
      </w:r>
    </w:p>
    <w:p w14:paraId="016AC9FB">
      <w:pPr>
        <w:pStyle w:val="38"/>
        <w:spacing w:before="0" w:beforeAutospacing="0" w:after="0" w:afterAutospacing="0" w:line="400" w:lineRule="exact"/>
        <w:ind w:left="-283" w:leftChars="-135" w:firstLine="420" w:firstLineChars="200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作为博华深圳联展旗下系列展，本次展会将融合深圳国际酒店及餐饮业博览会、深圳国际营养与健康产业展等品牌展会的优质资源，链接餐饮、酒店、家具、健康、生活方式等产业链上下游。2025年博华深圳联展的展出规模将达到25万平方米，12大展馆齐聚2,500+家展商，预计到场观众将超过15万！</w:t>
      </w:r>
    </w:p>
    <w:p w14:paraId="2791CA78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 w:cs="Segoe UI"/>
          <w:b/>
          <w:bCs/>
          <w:color w:val="000000"/>
        </w:rPr>
      </w:pPr>
    </w:p>
    <w:p w14:paraId="1EA75B53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/>
          <w:b/>
          <w:bCs/>
          <w:color w:val="000000"/>
        </w:rPr>
      </w:pPr>
      <w:r>
        <w:rPr>
          <w:rStyle w:val="39"/>
          <w:rFonts w:hint="eastAsia" w:ascii="微软雅黑" w:hAnsi="微软雅黑" w:eastAsia="微软雅黑" w:cs="Segoe UI"/>
          <w:b/>
          <w:bCs/>
          <w:color w:val="000000"/>
        </w:rPr>
        <w:t>上届展会现场回顾</w:t>
      </w:r>
    </w:p>
    <w:p w14:paraId="324BBD3B">
      <w:pPr>
        <w:pStyle w:val="38"/>
        <w:spacing w:before="0" w:beforeAutospacing="0" w:after="0" w:afterAutospacing="0" w:line="400" w:lineRule="exact"/>
        <w:ind w:left="-282" w:leftChars="-135" w:hanging="1"/>
        <w:textAlignment w:val="baseline"/>
        <w:rPr>
          <w:rStyle w:val="39"/>
          <w:rFonts w:hint="eastAsia" w:ascii="微软雅黑" w:hAnsi="微软雅黑" w:eastAsia="微软雅黑" w:cs="Segoe UI"/>
          <w:b/>
          <w:bCs/>
          <w:color w:val="000000"/>
          <w:sz w:val="30"/>
          <w:szCs w:val="30"/>
        </w:rPr>
      </w:pPr>
      <w: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106045</wp:posOffset>
            </wp:positionV>
            <wp:extent cx="6131560" cy="3049905"/>
            <wp:effectExtent l="0" t="0" r="2540" b="0"/>
            <wp:wrapTight wrapText="bothSides">
              <wp:wrapPolygon>
                <wp:start x="0" y="0"/>
                <wp:lineTo x="0" y="21452"/>
                <wp:lineTo x="21542" y="21452"/>
                <wp:lineTo x="21542" y="0"/>
                <wp:lineTo x="0" y="0"/>
              </wp:wrapPolygon>
            </wp:wrapTight>
            <wp:docPr id="1567381258" name="图片 1" descr="许多人在广场上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381258" name="图片 1" descr="许多人在广场上&#10;&#10;AI 生成的内容可能不正确。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1560" cy="3049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FF4B7B">
      <w:pPr>
        <w:pStyle w:val="38"/>
        <w:spacing w:before="0" w:beforeAutospacing="0" w:after="0" w:afterAutospacing="0" w:line="400" w:lineRule="exact"/>
        <w:ind w:left="-282" w:leftChars="-135" w:hanging="1"/>
        <w:textAlignment w:val="baseline"/>
        <w:rPr>
          <w:rStyle w:val="39"/>
          <w:rFonts w:hint="eastAsia" w:ascii="微软雅黑" w:hAnsi="微软雅黑" w:eastAsia="微软雅黑" w:cs="Segoe UI"/>
          <w:b/>
          <w:bCs/>
          <w:color w:val="000000"/>
          <w:sz w:val="30"/>
          <w:szCs w:val="30"/>
        </w:rPr>
      </w:pPr>
    </w:p>
    <w:p w14:paraId="579DA100">
      <w:pPr>
        <w:pStyle w:val="38"/>
        <w:spacing w:before="0" w:beforeAutospacing="0" w:after="0" w:afterAutospacing="0" w:line="400" w:lineRule="exact"/>
        <w:ind w:left="-282" w:leftChars="-135" w:hanging="1"/>
        <w:textAlignment w:val="baseline"/>
        <w:rPr>
          <w:rStyle w:val="39"/>
          <w:rFonts w:hint="eastAsia" w:ascii="微软雅黑" w:hAnsi="微软雅黑" w:eastAsia="微软雅黑" w:cs="Segoe UI"/>
          <w:b/>
          <w:bCs/>
          <w:color w:val="000000"/>
          <w:sz w:val="30"/>
          <w:szCs w:val="30"/>
        </w:rPr>
      </w:pPr>
    </w:p>
    <w:p w14:paraId="4924F839">
      <w:pPr>
        <w:pStyle w:val="38"/>
        <w:spacing w:before="0" w:beforeAutospacing="0" w:after="0" w:afterAutospacing="0" w:line="400" w:lineRule="exact"/>
        <w:ind w:left="-282" w:leftChars="-135" w:hanging="1"/>
        <w:textAlignment w:val="baseline"/>
        <w:rPr>
          <w:rStyle w:val="39"/>
          <w:rFonts w:hint="eastAsia" w:ascii="微软雅黑" w:hAnsi="微软雅黑" w:eastAsia="微软雅黑" w:cs="Segoe UI"/>
          <w:b/>
          <w:bCs/>
          <w:color w:val="000000"/>
          <w:sz w:val="30"/>
          <w:szCs w:val="30"/>
        </w:rPr>
      </w:pPr>
    </w:p>
    <w:p w14:paraId="370587BE">
      <w:pPr>
        <w:pStyle w:val="38"/>
        <w:spacing w:before="0" w:beforeAutospacing="0" w:after="0" w:afterAutospacing="0" w:line="400" w:lineRule="exact"/>
        <w:ind w:left="-282" w:leftChars="-135" w:hanging="1"/>
        <w:textAlignment w:val="baseline"/>
        <w:rPr>
          <w:rStyle w:val="39"/>
          <w:rFonts w:hint="eastAsia" w:ascii="微软雅黑" w:hAnsi="微软雅黑" w:eastAsia="微软雅黑" w:cs="Segoe UI"/>
          <w:b/>
          <w:bCs/>
          <w:color w:val="000000"/>
          <w:sz w:val="30"/>
          <w:szCs w:val="30"/>
        </w:rPr>
      </w:pPr>
    </w:p>
    <w:p w14:paraId="45BAEE91">
      <w:pPr>
        <w:widowControl/>
        <w:jc w:val="left"/>
        <w:rPr>
          <w:rStyle w:val="39"/>
          <w:rFonts w:hint="eastAsia" w:ascii="微软雅黑" w:hAnsi="微软雅黑" w:eastAsia="微软雅黑" w:cs="Segoe UI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Style w:val="39"/>
          <w:rFonts w:hint="eastAsia" w:ascii="微软雅黑" w:hAnsi="微软雅黑" w:eastAsia="微软雅黑" w:cs="Segoe UI"/>
          <w:b/>
          <w:bCs/>
          <w:color w:val="000000"/>
          <w:sz w:val="30"/>
          <w:szCs w:val="30"/>
        </w:rPr>
        <w:br w:type="page"/>
      </w:r>
    </w:p>
    <w:p w14:paraId="5CF23A62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/>
          <w:b/>
          <w:bCs/>
          <w:color w:val="000000"/>
        </w:rPr>
      </w:pPr>
      <w:r>
        <w:rPr>
          <w:rStyle w:val="39"/>
          <w:rFonts w:hint="eastAsia" w:ascii="微软雅黑" w:hAnsi="微软雅黑" w:eastAsia="微软雅黑" w:cs="Segoe UI"/>
          <w:b/>
          <w:bCs/>
          <w:color w:val="000000"/>
        </w:rPr>
        <w:t>展品范围</w:t>
      </w:r>
    </w:p>
    <w:p w14:paraId="40C4844D">
      <w:pPr>
        <w:pStyle w:val="38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  <w:t>加工机械</w:t>
      </w:r>
    </w:p>
    <w:p w14:paraId="4E144F45">
      <w:pPr>
        <w:pStyle w:val="38"/>
        <w:shd w:val="clear" w:color="auto" w:fill="FFFFFF"/>
        <w:spacing w:before="0" w:beforeAutospacing="0" w:after="0" w:afterAutospacing="0" w:line="400" w:lineRule="exact"/>
        <w:ind w:left="-283" w:leftChars="-135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酒/饮料机械、果蔬机械、糕点加工机械、肉类机械、面食机械、豆制品加工设备、调味品设备、巧克力和糖果加工设备、中央厨房及预制菜科技设备等</w:t>
      </w:r>
    </w:p>
    <w:p w14:paraId="7C31E6F9">
      <w:pPr>
        <w:pStyle w:val="38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  <w:t>通用机械</w:t>
      </w:r>
    </w:p>
    <w:p w14:paraId="2176E7A7">
      <w:pPr>
        <w:pStyle w:val="38"/>
        <w:shd w:val="clear" w:color="auto" w:fill="FFFFFF"/>
        <w:spacing w:before="0" w:beforeAutospacing="0" w:after="0" w:afterAutospacing="0" w:line="400" w:lineRule="exact"/>
        <w:ind w:left="-282" w:leftChars="-135" w:hanging="1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清洗设备、杀菌设备、干燥设备、粉碎设备、冷藏冷冻设备、检测设备、生产车间净化设备、环保设备、泵类、管道阀门连接件、安全防护产品等</w:t>
      </w:r>
    </w:p>
    <w:p w14:paraId="69A1BB9F">
      <w:pPr>
        <w:pStyle w:val="38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  <w:t>包装机械</w:t>
      </w:r>
    </w:p>
    <w:p w14:paraId="7CA7A750">
      <w:pPr>
        <w:pStyle w:val="38"/>
        <w:shd w:val="clear" w:color="auto" w:fill="FFFFFF"/>
        <w:spacing w:before="0" w:beforeAutospacing="0" w:after="0" w:afterAutospacing="0" w:line="400" w:lineRule="exact"/>
        <w:ind w:left="-282" w:leftChars="-135" w:hanging="1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液态包装设备、固态包装设备、后道包装机械、医药包装机械、打码喷码设备、贴标设备、输送设备等</w:t>
      </w:r>
    </w:p>
    <w:p w14:paraId="46CA9F20">
      <w:pPr>
        <w:pStyle w:val="38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  <w:t>智能装备</w:t>
      </w:r>
    </w:p>
    <w:p w14:paraId="66475A3A">
      <w:pPr>
        <w:pStyle w:val="38"/>
        <w:shd w:val="clear" w:color="auto" w:fill="FFFFFF"/>
        <w:spacing w:before="0" w:beforeAutospacing="0" w:after="0" w:afterAutospacing="0" w:line="400" w:lineRule="exact"/>
        <w:ind w:left="-282" w:leftChars="-135" w:hanging="1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机器人与自动化、数字化工厂改造、机器视觉、传感及传动装置，智能仓储、智慧物流等</w:t>
      </w:r>
    </w:p>
    <w:p w14:paraId="5A5D4779">
      <w:pPr>
        <w:pStyle w:val="38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  <w:t>包材与制品</w:t>
      </w:r>
    </w:p>
    <w:p w14:paraId="478BD615">
      <w:pPr>
        <w:pStyle w:val="38"/>
        <w:shd w:val="clear" w:color="auto" w:fill="FFFFFF"/>
        <w:spacing w:before="0" w:beforeAutospacing="0" w:after="0" w:afterAutospacing="0" w:line="400" w:lineRule="exact"/>
        <w:ind w:left="-282" w:leftChars="-135" w:hanging="1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包装材料、制品、容器、塑料、纸板、金属、玻璃包装、包装容器生产设备、纸浆模塑设备及制品等</w:t>
      </w:r>
    </w:p>
    <w:p w14:paraId="5AA0B766">
      <w:pPr>
        <w:pStyle w:val="38"/>
        <w:numPr>
          <w:ilvl w:val="0"/>
          <w:numId w:val="1"/>
        </w:numPr>
        <w:shd w:val="clear" w:color="auto" w:fill="FFFFFF"/>
        <w:spacing w:before="0" w:beforeAutospacing="0" w:after="0" w:afterAutospacing="0" w:line="400" w:lineRule="exact"/>
        <w:textAlignment w:val="baseline"/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b/>
          <w:bCs/>
          <w:color w:val="000000"/>
          <w:sz w:val="21"/>
          <w:szCs w:val="21"/>
        </w:rPr>
        <w:t>物流科技</w:t>
      </w:r>
    </w:p>
    <w:p w14:paraId="523458F9">
      <w:pPr>
        <w:pStyle w:val="38"/>
        <w:shd w:val="clear" w:color="auto" w:fill="FFFFFF"/>
        <w:spacing w:before="0" w:beforeAutospacing="0" w:after="0" w:afterAutospacing="0" w:line="400" w:lineRule="exact"/>
        <w:ind w:left="-282" w:leftChars="-135" w:hanging="1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物流包装、标签标识、码垛机、AGV物流设备及系统等</w:t>
      </w:r>
    </w:p>
    <w:p w14:paraId="1E0B92D0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 w:cs="Segoe UI"/>
          <w:b/>
          <w:bCs/>
          <w:color w:val="000000"/>
        </w:rPr>
      </w:pPr>
    </w:p>
    <w:p w14:paraId="7F0A95D5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/>
          <w:b/>
          <w:bCs/>
        </w:rPr>
      </w:pPr>
      <w:r>
        <w:rPr>
          <w:rStyle w:val="39"/>
          <w:rFonts w:hint="eastAsia" w:ascii="微软雅黑" w:hAnsi="微软雅黑" w:eastAsia="微软雅黑" w:cs="Segoe UI"/>
          <w:b/>
          <w:bCs/>
          <w:color w:val="000000"/>
        </w:rPr>
        <w:t>同期活动</w:t>
      </w:r>
    </w:p>
    <w:p w14:paraId="58B0D949">
      <w:pPr>
        <w:pStyle w:val="38"/>
        <w:shd w:val="clear" w:color="auto" w:fill="FFFFFF"/>
        <w:spacing w:before="0" w:beforeAutospacing="0" w:after="0" w:afterAutospacing="0" w:line="400" w:lineRule="exact"/>
        <w:ind w:left="-282" w:leftChars="-135" w:hanging="1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展会期间还将举办多场会议活动，众多知名学者、企业领袖、行业资深专家等齐聚一堂，将围绕绿色与预制食品包装、食品加工包装供应链、包装设计及可持续发展、数智化转型升级等行业热点话题进行趋势分析、前沿技术介绍和实践案例讲解。此外，</w:t>
      </w:r>
      <w:r>
        <w:rPr>
          <w:rFonts w:ascii="微软雅黑" w:hAnsi="微软雅黑" w:eastAsia="微软雅黑" w:cs="Segoe UI"/>
          <w:color w:val="000000"/>
          <w:sz w:val="21"/>
          <w:szCs w:val="21"/>
        </w:rPr>
        <w:t>展会还将举办多场商贸配对会，邀请国内及东南亚采购商与展商面对面洽谈，助力企业开拓跨境商机。</w:t>
      </w:r>
    </w:p>
    <w:p w14:paraId="20018D40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/>
          <w:b/>
          <w:bCs/>
        </w:rPr>
      </w:pPr>
    </w:p>
    <w:p w14:paraId="4C518F59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/>
          <w:b/>
          <w:bCs/>
          <w:color w:val="000000"/>
        </w:rPr>
      </w:pPr>
      <w:r>
        <w:rPr>
          <w:rStyle w:val="39"/>
          <w:rFonts w:hint="eastAsia" w:ascii="微软雅黑" w:hAnsi="微软雅黑" w:eastAsia="微软雅黑" w:cs="Segoe UI"/>
          <w:b/>
          <w:bCs/>
          <w:color w:val="000000"/>
        </w:rPr>
        <w:t>主办单位</w:t>
      </w:r>
    </w:p>
    <w:p w14:paraId="6FF52D95">
      <w:pPr>
        <w:pStyle w:val="38"/>
        <w:spacing w:before="0" w:beforeAutospacing="0" w:after="0" w:afterAutospacing="0" w:line="400" w:lineRule="exact"/>
        <w:ind w:left="-283" w:leftChars="-135"/>
        <w:jc w:val="both"/>
        <w:textAlignment w:val="baseline"/>
        <w:rPr>
          <w:rStyle w:val="40"/>
          <w:rFonts w:hint="eastAsia" w:ascii="微软雅黑" w:hAnsi="微软雅黑" w:eastAsia="微软雅黑" w:cs="Segoe UI"/>
          <w:sz w:val="21"/>
          <w:szCs w:val="21"/>
        </w:rPr>
      </w:pPr>
      <w:r>
        <w:rPr>
          <w:rStyle w:val="39"/>
          <w:rFonts w:hint="eastAsia" w:ascii="微软雅黑" w:hAnsi="微软雅黑" w:eastAsia="微软雅黑" w:cs="Segoe UI"/>
          <w:b/>
          <w:bCs/>
          <w:sz w:val="21"/>
          <w:szCs w:val="21"/>
        </w:rPr>
        <w:t>上海博华国际展览有限公司</w:t>
      </w:r>
      <w:r>
        <w:rPr>
          <w:rStyle w:val="40"/>
          <w:rFonts w:hint="eastAsia" w:ascii="微软雅黑" w:hAnsi="微软雅黑" w:eastAsia="微软雅黑" w:cs="Segoe UI"/>
          <w:sz w:val="21"/>
          <w:szCs w:val="21"/>
        </w:rPr>
        <w:t xml:space="preserve"> （Sinoexpo Informa Markets）</w:t>
      </w:r>
    </w:p>
    <w:p w14:paraId="2BE2AEAE">
      <w:pPr>
        <w:pStyle w:val="38"/>
        <w:spacing w:before="0" w:beforeAutospacing="0" w:after="0" w:afterAutospacing="0" w:line="400" w:lineRule="exact"/>
        <w:ind w:left="-283" w:leftChars="-135"/>
        <w:jc w:val="both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Fonts w:hint="eastAsia" w:ascii="微软雅黑" w:hAnsi="微软雅黑" w:eastAsia="微软雅黑" w:cs="Segoe UI"/>
          <w:color w:val="000000"/>
          <w:sz w:val="21"/>
          <w:szCs w:val="21"/>
        </w:rPr>
        <w:t>上海博华国际展览有限公司是英国英富曼集团（伦敦上市公司，INFORMA PLC）与上海华展国际展览有限公司于1998年在上海设立的中外合作展览公司。公司全年运营70多个展会，租馆总面积达到183.8万平方米，为来自全球超过131万采购人士创造多重贸易机会。</w:t>
      </w:r>
    </w:p>
    <w:p w14:paraId="01930D3E">
      <w:pPr>
        <w:pStyle w:val="38"/>
        <w:spacing w:before="0" w:beforeAutospacing="0" w:after="0" w:afterAutospacing="0" w:line="400" w:lineRule="exact"/>
        <w:ind w:left="-283" w:leftChars="-135"/>
        <w:jc w:val="both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</w:p>
    <w:p w14:paraId="3254254D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/>
          <w:b/>
          <w:bCs/>
          <w:color w:val="000000"/>
        </w:rPr>
      </w:pPr>
      <w:r>
        <w:rPr>
          <w:rStyle w:val="39"/>
          <w:rFonts w:hint="eastAsia" w:ascii="微软雅黑" w:hAnsi="微软雅黑" w:eastAsia="微软雅黑" w:cs="Segoe UI"/>
          <w:b/>
          <w:bCs/>
          <w:color w:val="000000"/>
        </w:rPr>
        <w:t>联系我们</w:t>
      </w:r>
    </w:p>
    <w:p w14:paraId="3F1152AE">
      <w:pPr>
        <w:pStyle w:val="38"/>
        <w:shd w:val="clear" w:color="auto" w:fill="FFFFFF"/>
        <w:spacing w:before="0" w:beforeAutospacing="0" w:after="0" w:afterAutospacing="0" w:line="400" w:lineRule="exact"/>
        <w:ind w:left="-283" w:leftChars="-135"/>
        <w:textAlignment w:val="baseline"/>
        <w:rPr>
          <w:rStyle w:val="39"/>
          <w:rFonts w:hint="eastAsia" w:ascii="微软雅黑" w:hAnsi="微软雅黑" w:eastAsia="微软雅黑" w:cs="Segoe UI"/>
          <w:b/>
          <w:bCs/>
          <w:color w:val="000000"/>
          <w:sz w:val="22"/>
          <w:szCs w:val="22"/>
        </w:rPr>
      </w:pPr>
      <w:bookmarkStart w:id="0" w:name="_GoBack"/>
      <w:r>
        <w:rPr>
          <w:rStyle w:val="39"/>
          <w:rFonts w:hint="eastAsia" w:ascii="微软雅黑" w:hAnsi="微软雅黑" w:eastAsia="微软雅黑" w:cs="Segoe UI"/>
          <w:sz w:val="21"/>
          <w:szCs w:val="21"/>
        </w:rPr>
        <w:t>吴小姐 Jessie Wu</w:t>
      </w:r>
      <w:bookmarkEnd w:id="0"/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hint="eastAsia" w:ascii="微软雅黑" w:hAnsi="微软雅黑" w:eastAsia="微软雅黑" w:cs="Segoe UI"/>
          <w:b/>
          <w:bCs/>
          <w:color w:val="000000"/>
          <w:sz w:val="22"/>
          <w:szCs w:val="22"/>
        </w:rPr>
        <w:t>微信公众号：ProPak加工包装展</w:t>
      </w:r>
    </w:p>
    <w:p w14:paraId="7890470D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 w:cs="Segoe UI"/>
          <w:sz w:val="21"/>
          <w:szCs w:val="21"/>
        </w:rPr>
      </w:pPr>
      <w:r>
        <w:rPr>
          <w:rStyle w:val="39"/>
          <w:rFonts w:hint="eastAsia" w:ascii="微软雅黑" w:hAnsi="微软雅黑" w:eastAsia="微软雅黑" w:cs="Segoe UI"/>
          <w:b/>
          <w:bCs/>
          <w:color w:val="000000"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3477895</wp:posOffset>
            </wp:positionH>
            <wp:positionV relativeFrom="paragraph">
              <wp:posOffset>31750</wp:posOffset>
            </wp:positionV>
            <wp:extent cx="1257935" cy="1228725"/>
            <wp:effectExtent l="0" t="0" r="0" b="0"/>
            <wp:wrapNone/>
            <wp:docPr id="649122547" name="图片 4" descr="QR 代码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122547" name="图片 4" descr="QR 代码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11" t="8881" r="8731" b="8209"/>
                    <a:stretch>
                      <a:fillRect/>
                    </a:stretch>
                  </pic:blipFill>
                  <pic:spPr>
                    <a:xfrm>
                      <a:off x="0" y="0"/>
                      <a:ext cx="1258037" cy="1228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39"/>
          <w:rFonts w:ascii="微软雅黑" w:hAnsi="微软雅黑" w:eastAsia="微软雅黑" w:cs="Segoe UI"/>
          <w:sz w:val="21"/>
          <w:szCs w:val="21"/>
        </w:rPr>
        <w:tab/>
      </w:r>
      <w:r>
        <w:rPr>
          <w:rStyle w:val="39"/>
          <w:rFonts w:hint="eastAsia" w:ascii="微软雅黑" w:hAnsi="微软雅黑" w:eastAsia="微软雅黑" w:cs="Segoe UI"/>
          <w:sz w:val="21"/>
          <w:szCs w:val="21"/>
        </w:rPr>
        <w:t>上海博华国际展览有限公司</w:t>
      </w:r>
    </w:p>
    <w:p w14:paraId="4BB813CD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39"/>
          <w:rFonts w:hint="eastAsia" w:ascii="微软雅黑" w:hAnsi="微软雅黑" w:eastAsia="微软雅黑" w:cs="Segoe UI"/>
          <w:sz w:val="21"/>
          <w:szCs w:val="21"/>
        </w:rPr>
        <w:t>上海市徐汇区虹桥路355号城开国际大厦7-8楼</w:t>
      </w:r>
    </w:p>
    <w:p w14:paraId="568E8609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Style w:val="39"/>
          <w:rFonts w:hint="eastAsia" w:ascii="微软雅黑" w:hAnsi="微软雅黑" w:eastAsia="微软雅黑"/>
          <w:sz w:val="21"/>
          <w:szCs w:val="21"/>
        </w:rPr>
      </w:pPr>
      <w:r>
        <w:rPr>
          <w:rStyle w:val="39"/>
          <w:rFonts w:hint="eastAsia" w:ascii="微软雅黑" w:hAnsi="微软雅黑" w:eastAsia="微软雅黑" w:cs="Segoe UI"/>
          <w:sz w:val="21"/>
          <w:szCs w:val="21"/>
        </w:rPr>
        <w:t>电话：86-21-3339 2283</w:t>
      </w:r>
    </w:p>
    <w:p w14:paraId="444C4FE3">
      <w:pPr>
        <w:pStyle w:val="38"/>
        <w:spacing w:before="0" w:beforeAutospacing="0" w:after="0" w:afterAutospacing="0" w:line="400" w:lineRule="exact"/>
        <w:ind w:left="-282" w:leftChars="-135" w:hanging="1"/>
        <w:jc w:val="both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  <w:r>
        <w:rPr>
          <w:rStyle w:val="39"/>
          <w:rFonts w:ascii="微软雅黑" w:hAnsi="微软雅黑" w:eastAsia="微软雅黑"/>
          <w:sz w:val="21"/>
          <w:szCs w:val="21"/>
        </w:rPr>
        <w:t>邮箱</w:t>
      </w:r>
      <w:r>
        <w:rPr>
          <w:rStyle w:val="39"/>
          <w:rFonts w:hint="eastAsia" w:ascii="微软雅黑" w:hAnsi="微软雅黑" w:eastAsia="微软雅黑" w:cs="Segoe UI"/>
          <w:sz w:val="21"/>
          <w:szCs w:val="21"/>
        </w:rPr>
        <w:t>：</w:t>
      </w:r>
      <w:r>
        <w:fldChar w:fldCharType="begin"/>
      </w:r>
      <w:r>
        <w:instrText xml:space="preserve"> HYPERLINK "mailto:jessie.wu@imsinoexpo.com" </w:instrText>
      </w:r>
      <w:r>
        <w:fldChar w:fldCharType="separate"/>
      </w:r>
      <w:r>
        <w:rPr>
          <w:rStyle w:val="18"/>
          <w:rFonts w:hint="eastAsia" w:ascii="微软雅黑" w:hAnsi="微软雅黑" w:eastAsia="微软雅黑" w:cs="Segoe UI"/>
          <w:sz w:val="21"/>
          <w:szCs w:val="21"/>
        </w:rPr>
        <w:t>jessie.wu@imsinoexpo.com</w:t>
      </w:r>
      <w:r>
        <w:rPr>
          <w:rStyle w:val="18"/>
          <w:rFonts w:hint="eastAsia" w:ascii="微软雅黑" w:hAnsi="微软雅黑" w:eastAsia="微软雅黑" w:cs="Segoe UI"/>
          <w:sz w:val="21"/>
          <w:szCs w:val="21"/>
        </w:rPr>
        <w:fldChar w:fldCharType="end"/>
      </w:r>
    </w:p>
    <w:p w14:paraId="2F6DA7E2">
      <w:pPr>
        <w:pStyle w:val="38"/>
        <w:shd w:val="clear" w:color="auto" w:fill="FFFFFF"/>
        <w:spacing w:before="0" w:beforeAutospacing="0" w:after="0" w:afterAutospacing="0" w:line="400" w:lineRule="exact"/>
        <w:ind w:left="-283" w:leftChars="-135"/>
        <w:textAlignment w:val="baseline"/>
        <w:rPr>
          <w:rFonts w:hint="eastAsia" w:ascii="微软雅黑" w:hAnsi="微软雅黑" w:eastAsia="微软雅黑" w:cs="Segoe UI"/>
          <w:color w:val="000000"/>
          <w:sz w:val="21"/>
          <w:szCs w:val="21"/>
        </w:rPr>
      </w:pPr>
    </w:p>
    <w:sectPr>
      <w:footerReference r:id="rId6" w:type="first"/>
      <w:headerReference r:id="rId3" w:type="default"/>
      <w:footerReference r:id="rId4" w:type="default"/>
      <w:footerReference r:id="rId5" w:type="even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Rockwell">
    <w:panose1 w:val="02060603020205020403"/>
    <w:charset w:val="00"/>
    <w:family w:val="roman"/>
    <w:pitch w:val="default"/>
    <w:sig w:usb0="00000003" w:usb1="00000000" w:usb2="00000000" w:usb3="00000000" w:csb0="2000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A83455">
    <w:pPr>
      <w:pStyle w:val="11"/>
      <w:rPr>
        <w:rFonts w:hint="eastAsia"/>
      </w:rPr>
    </w:pPr>
    <w:r>
      <w:rPr>
        <w:rFonts w:hint="eastAsia"/>
      </w:rPr>
      <mc:AlternateContent>
        <mc:Choice Requires="wps">
          <w:drawing>
            <wp:anchor distT="0" distB="0" distL="0" distR="0" simplePos="0" relativeHeight="251661312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24485"/>
              <wp:effectExtent l="0" t="0" r="9525" b="0"/>
              <wp:wrapNone/>
              <wp:docPr id="1879905713" name="文本框 3" descr="Information Classification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7199A7">
                          <w:pPr>
                            <w:rPr>
                              <w:rFonts w:ascii="Rockwell" w:hAnsi="Rockwell" w:eastAsia="Rockwell" w:cs="Rockwell"/>
                              <w:color w:val="0078D7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Rockwell" w:hAnsi="Rockwell" w:eastAsia="Rockwell" w:cs="Rockwell"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alt="Information Classification: General" type="#_x0000_t202" style="position:absolute;left:0pt;height:25.55pt;width:164.25pt;mso-position-horizontal:left;mso-position-horizontal-relative:page;mso-position-vertical:bottom;mso-position-vertical-relative:page;mso-wrap-style:none;z-index:251661312;v-text-anchor:bottom;mso-width-relative:page;mso-height-relative:page;" filled="f" stroked="f" coordsize="21600,21600" o:gfxdata="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H0FaUHUAAAABAEAAA8A&#10;AAAAAAAAAQAgAAAAIgAAAGRycy9kb3ducmV2LnhtbFBLAQIUABQAAAAIAIdO4kDqBEDoVAIAAIoE&#10;AAAOAAAAAAAAAAEAIAAAACMBAABkcnMvZTJvRG9jLnhtbFBLBQYAAAAABgAGAFkBAADpBQAAAAA=&#10;">
              <v:fill on="f" focussize="0,0"/>
              <v:stroke on="f"/>
              <v:imagedata o:title=""/>
              <o:lock v:ext="edit" aspectratio="f"/>
              <v:textbox inset="20pt,0mm,0mm,15pt" style="mso-fit-shape-to-text:t;">
                <w:txbxContent>
                  <w:p w14:paraId="387199A7">
                    <w:pPr>
                      <w:rPr>
                        <w:rFonts w:ascii="Rockwell" w:hAnsi="Rockwell" w:eastAsia="Rockwell" w:cs="Rockwell"/>
                        <w:color w:val="0078D7"/>
                        <w:sz w:val="18"/>
                        <w:szCs w:val="18"/>
                      </w:rPr>
                    </w:pPr>
                    <w:r>
                      <w:rPr>
                        <w:rFonts w:ascii="Rockwell" w:hAnsi="Rockwell" w:eastAsia="Rockwell" w:cs="Rockwell"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3120E1">
    <w:pPr>
      <w:pStyle w:val="11"/>
      <w:rPr>
        <w:rFonts w:hint="eastAsia"/>
      </w:rPr>
    </w:pPr>
    <w:r>
      <w:rPr>
        <w:rFonts w:hint="eastAsia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24485"/>
              <wp:effectExtent l="0" t="0" r="9525" b="0"/>
              <wp:wrapNone/>
              <wp:docPr id="1201959428" name="文本框 2" descr="Information Classification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5E24A5">
                          <w:pPr>
                            <w:rPr>
                              <w:rFonts w:ascii="Rockwell" w:hAnsi="Rockwell" w:eastAsia="Rockwell" w:cs="Rockwell"/>
                              <w:color w:val="0078D7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Rockwell" w:hAnsi="Rockwell" w:eastAsia="Rockwell" w:cs="Rockwell"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alt="Information Classification: General" type="#_x0000_t202" style="position:absolute;left:0pt;height:25.55pt;width:164.25pt;mso-position-horizontal:left;mso-position-horizontal-relative:page;mso-position-vertical:bottom;mso-position-vertical-relative:page;mso-wrap-style:none;z-index:251660288;v-text-anchor:bottom;mso-width-relative:page;mso-height-relative:page;" filled="f" stroked="f" coordsize="21600,21600" o:gfxdata="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H0FaUHUAAAABAEAAA8A&#10;AAAAAAAAAQAgAAAAIgAAAGRycy9kb3ducmV2LnhtbFBLAQIUABQAAAAIAIdO4kB5GgOwVAIAAIoE&#10;AAAOAAAAAAAAAAEAIAAAACMBAABkcnMvZTJvRG9jLnhtbFBLBQYAAAAABgAGAFkBAADpBQAAAAA=&#10;">
              <v:fill on="f" focussize="0,0"/>
              <v:stroke on="f"/>
              <v:imagedata o:title=""/>
              <o:lock v:ext="edit" aspectratio="f"/>
              <v:textbox inset="20pt,0mm,0mm,15pt" style="mso-fit-shape-to-text:t;">
                <w:txbxContent>
                  <w:p w14:paraId="1F5E24A5">
                    <w:pPr>
                      <w:rPr>
                        <w:rFonts w:ascii="Rockwell" w:hAnsi="Rockwell" w:eastAsia="Rockwell" w:cs="Rockwell"/>
                        <w:color w:val="0078D7"/>
                        <w:sz w:val="18"/>
                        <w:szCs w:val="18"/>
                      </w:rPr>
                    </w:pPr>
                    <w:r>
                      <w:rPr>
                        <w:rFonts w:ascii="Rockwell" w:hAnsi="Rockwell" w:eastAsia="Rockwell" w:cs="Rockwell"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BCE6F8">
    <w:pPr>
      <w:pStyle w:val="11"/>
      <w:rPr>
        <w:rFonts w:hint="eastAsia"/>
      </w:rPr>
    </w:pPr>
    <w:r>
      <w:rPr>
        <w:rFonts w:hint="eastAsia"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2085975" cy="324485"/>
              <wp:effectExtent l="0" t="0" r="9525" b="0"/>
              <wp:wrapNone/>
              <wp:docPr id="467377043" name="文本框 1" descr="Information Classification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85975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347DC6">
                          <w:pPr>
                            <w:rPr>
                              <w:rFonts w:ascii="Rockwell" w:hAnsi="Rockwell" w:eastAsia="Rockwell" w:cs="Rockwell"/>
                              <w:color w:val="0078D7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Rockwell" w:hAnsi="Rockwell" w:eastAsia="Rockwell" w:cs="Rockwell"/>
                              <w:color w:val="0078D7"/>
                              <w:sz w:val="18"/>
                              <w:szCs w:val="18"/>
                            </w:rPr>
                            <w:t>Information Classification: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alt="Information Classification: General" type="#_x0000_t202" style="position:absolute;left:0pt;height:25.55pt;width:164.25pt;mso-position-horizontal:left;mso-position-horizontal-relative:page;mso-position-vertical:bottom;mso-position-vertical-relative:page;mso-wrap-style:none;z-index:251659264;v-text-anchor:bottom;mso-width-relative:page;mso-height-relative:page;" filled="f" stroked="f" coordsize="21600,21600" o:gfxdata="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fQVpQdQAAAAEAQAA&#10;DwAAAAAAAAABACAAAAAiAAAAZHJzL2Rvd25yZXYueG1sUEsBAhQAFAAAAAgAh07iQBv1RK9WAgAA&#10;iQQAAA4AAAAAAAAAAQAgAAAAIwEAAGRycy9lMm9Eb2MueG1sUEsFBgAAAAAGAAYAWQEAAOsFAAAA&#10;AA==&#10;">
              <v:fill on="f" focussize="0,0"/>
              <v:stroke on="f"/>
              <v:imagedata o:title=""/>
              <o:lock v:ext="edit" aspectratio="f"/>
              <v:textbox inset="20pt,0mm,0mm,15pt" style="mso-fit-shape-to-text:t;">
                <w:txbxContent>
                  <w:p w14:paraId="23347DC6">
                    <w:pPr>
                      <w:rPr>
                        <w:rFonts w:ascii="Rockwell" w:hAnsi="Rockwell" w:eastAsia="Rockwell" w:cs="Rockwell"/>
                        <w:color w:val="0078D7"/>
                        <w:sz w:val="18"/>
                        <w:szCs w:val="18"/>
                      </w:rPr>
                    </w:pPr>
                    <w:r>
                      <w:rPr>
                        <w:rFonts w:ascii="Rockwell" w:hAnsi="Rockwell" w:eastAsia="Rockwell" w:cs="Rockwell"/>
                        <w:color w:val="0078D7"/>
                        <w:sz w:val="18"/>
                        <w:szCs w:val="18"/>
                      </w:rPr>
                      <w:t>Information Classification: General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74DECF">
    <w:pPr>
      <w:pStyle w:val="12"/>
      <w:spacing w:line="200" w:lineRule="exact"/>
      <w:jc w:val="right"/>
      <w:rPr>
        <w:rFonts w:hint="eastAsia" w:ascii="微软雅黑" w:hAnsi="微软雅黑" w:eastAsia="微软雅黑"/>
      </w:rPr>
    </w:pPr>
    <w:r>
      <w:rPr>
        <w:rFonts w:hint="eastAsia" w:ascii="微软雅黑" w:hAnsi="微软雅黑" w:eastAsia="微软雅黑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137160</wp:posOffset>
          </wp:positionH>
          <wp:positionV relativeFrom="paragraph">
            <wp:posOffset>5715</wp:posOffset>
          </wp:positionV>
          <wp:extent cx="1076325" cy="342900"/>
          <wp:effectExtent l="0" t="0" r="9525" b="0"/>
          <wp:wrapNone/>
          <wp:docPr id="1949577589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9577589" name="图片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546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</w:rPr>
      <w:t>深圳食品及加工包装展览会</w:t>
    </w:r>
  </w:p>
  <w:p w14:paraId="003CB749">
    <w:pPr>
      <w:pStyle w:val="12"/>
      <w:spacing w:line="200" w:lineRule="exact"/>
      <w:jc w:val="right"/>
      <w:rPr>
        <w:rFonts w:hint="eastAsia" w:ascii="微软雅黑" w:hAnsi="微软雅黑" w:eastAsia="微软雅黑"/>
      </w:rPr>
    </w:pPr>
    <w:r>
      <w:rPr>
        <w:rFonts w:hint="eastAsia" w:ascii="微软雅黑" w:hAnsi="微软雅黑" w:eastAsia="微软雅黑"/>
      </w:rPr>
      <w:t>2025年12月16-18日</w:t>
    </w:r>
  </w:p>
  <w:p w14:paraId="497A3042">
    <w:pPr>
      <w:pStyle w:val="12"/>
      <w:spacing w:line="200" w:lineRule="exact"/>
      <w:jc w:val="right"/>
      <w:rPr>
        <w:rFonts w:hint="eastAsia" w:ascii="微软雅黑" w:hAnsi="微软雅黑" w:eastAsia="微软雅黑"/>
      </w:rPr>
    </w:pPr>
    <w:r>
      <w:rPr>
        <w:rFonts w:hint="eastAsia" w:ascii="微软雅黑" w:hAnsi="微软雅黑" w:eastAsia="微软雅黑"/>
      </w:rPr>
      <w:t>深圳国际会展中心（宝安新馆）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D902D7"/>
    <w:multiLevelType w:val="multilevel"/>
    <w:tmpl w:val="0CD902D7"/>
    <w:lvl w:ilvl="0" w:tentative="0">
      <w:start w:val="1"/>
      <w:numFmt w:val="bullet"/>
      <w:lvlText w:val=""/>
      <w:lvlJc w:val="left"/>
      <w:pPr>
        <w:ind w:left="157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597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037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477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1917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357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797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237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677" w:hanging="44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49F"/>
    <w:rsid w:val="000219F2"/>
    <w:rsid w:val="00022037"/>
    <w:rsid w:val="00036BE9"/>
    <w:rsid w:val="0006262B"/>
    <w:rsid w:val="000A60A8"/>
    <w:rsid w:val="000B3DB3"/>
    <w:rsid w:val="00171CAA"/>
    <w:rsid w:val="00193F9C"/>
    <w:rsid w:val="001F37EC"/>
    <w:rsid w:val="001F7DE2"/>
    <w:rsid w:val="00247E3B"/>
    <w:rsid w:val="00270814"/>
    <w:rsid w:val="00280048"/>
    <w:rsid w:val="00290238"/>
    <w:rsid w:val="002C5638"/>
    <w:rsid w:val="00331C9A"/>
    <w:rsid w:val="00333BF4"/>
    <w:rsid w:val="003D3129"/>
    <w:rsid w:val="00406015"/>
    <w:rsid w:val="004265ED"/>
    <w:rsid w:val="00460C28"/>
    <w:rsid w:val="00463EAA"/>
    <w:rsid w:val="00492C7C"/>
    <w:rsid w:val="00496656"/>
    <w:rsid w:val="004E6BCF"/>
    <w:rsid w:val="0055357B"/>
    <w:rsid w:val="005560AD"/>
    <w:rsid w:val="005A3C85"/>
    <w:rsid w:val="005A6A62"/>
    <w:rsid w:val="005C0EF4"/>
    <w:rsid w:val="005E526C"/>
    <w:rsid w:val="006163E3"/>
    <w:rsid w:val="00632C2A"/>
    <w:rsid w:val="00633150"/>
    <w:rsid w:val="006730DD"/>
    <w:rsid w:val="00675DD4"/>
    <w:rsid w:val="006A419B"/>
    <w:rsid w:val="006B4D6F"/>
    <w:rsid w:val="006F179C"/>
    <w:rsid w:val="00703154"/>
    <w:rsid w:val="00717E46"/>
    <w:rsid w:val="00724812"/>
    <w:rsid w:val="0077360D"/>
    <w:rsid w:val="00783E41"/>
    <w:rsid w:val="007A373D"/>
    <w:rsid w:val="007B7CA4"/>
    <w:rsid w:val="007C4035"/>
    <w:rsid w:val="0082641C"/>
    <w:rsid w:val="00860B94"/>
    <w:rsid w:val="008851A4"/>
    <w:rsid w:val="008D7558"/>
    <w:rsid w:val="00965E93"/>
    <w:rsid w:val="00996593"/>
    <w:rsid w:val="009A11EA"/>
    <w:rsid w:val="009B3860"/>
    <w:rsid w:val="009C4B48"/>
    <w:rsid w:val="009C4E6A"/>
    <w:rsid w:val="00A367F6"/>
    <w:rsid w:val="00A530F3"/>
    <w:rsid w:val="00AB1785"/>
    <w:rsid w:val="00AD641C"/>
    <w:rsid w:val="00AE22B8"/>
    <w:rsid w:val="00AE30FE"/>
    <w:rsid w:val="00B32AEB"/>
    <w:rsid w:val="00B73DEB"/>
    <w:rsid w:val="00BA6854"/>
    <w:rsid w:val="00BE1D65"/>
    <w:rsid w:val="00BE7798"/>
    <w:rsid w:val="00BE7C46"/>
    <w:rsid w:val="00C41C9F"/>
    <w:rsid w:val="00C67BFA"/>
    <w:rsid w:val="00C9249F"/>
    <w:rsid w:val="00CA7450"/>
    <w:rsid w:val="00CC1B53"/>
    <w:rsid w:val="00CD6A0A"/>
    <w:rsid w:val="00CE7298"/>
    <w:rsid w:val="00D012F3"/>
    <w:rsid w:val="00D62303"/>
    <w:rsid w:val="00DE695F"/>
    <w:rsid w:val="00DF3FCF"/>
    <w:rsid w:val="00DF777D"/>
    <w:rsid w:val="00E71C4C"/>
    <w:rsid w:val="00F119EA"/>
    <w:rsid w:val="00F9558F"/>
    <w:rsid w:val="00FA6E59"/>
    <w:rsid w:val="00FD45DD"/>
    <w:rsid w:val="00FD4BBF"/>
    <w:rsid w:val="00FF0F91"/>
    <w:rsid w:val="00FF1973"/>
    <w:rsid w:val="5973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4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9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8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7">
    <w:name w:val="FollowedHyperlink"/>
    <w:basedOn w:val="16"/>
    <w:semiHidden/>
    <w:unhideWhenUsed/>
    <w:qFormat/>
    <w:uiPriority w:val="99"/>
    <w:rPr>
      <w:color w:val="96607D" w:themeColor="followedHyperlink"/>
      <w:u w:val="single"/>
      <w14:textFill>
        <w14:solidFill>
          <w14:schemeClr w14:val="folHlink"/>
        </w14:solidFill>
      </w14:textFill>
    </w:rPr>
  </w:style>
  <w:style w:type="character" w:styleId="18">
    <w:name w:val="Hyperlink"/>
    <w:basedOn w:val="16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character" w:customStyle="1" w:styleId="19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4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6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6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脚 字符"/>
    <w:basedOn w:val="16"/>
    <w:link w:val="11"/>
    <w:qFormat/>
    <w:uiPriority w:val="99"/>
    <w:rPr>
      <w:sz w:val="18"/>
      <w:szCs w:val="18"/>
    </w:rPr>
  </w:style>
  <w:style w:type="paragraph" w:customStyle="1" w:styleId="38">
    <w:name w:val="paragraph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39">
    <w:name w:val="normaltextrun"/>
    <w:basedOn w:val="16"/>
    <w:qFormat/>
    <w:uiPriority w:val="0"/>
  </w:style>
  <w:style w:type="character" w:customStyle="1" w:styleId="40">
    <w:name w:val="eop"/>
    <w:basedOn w:val="16"/>
    <w:qFormat/>
    <w:uiPriority w:val="0"/>
  </w:style>
  <w:style w:type="character" w:customStyle="1" w:styleId="41">
    <w:name w:val="Unresolved Mention"/>
    <w:basedOn w:val="16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42">
    <w:name w:val="页眉 字符"/>
    <w:basedOn w:val="16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1092</Words>
  <Characters>1268</Characters>
  <Lines>10</Lines>
  <Paragraphs>2</Paragraphs>
  <TotalTime>301</TotalTime>
  <ScaleCrop>false</ScaleCrop>
  <LinksUpToDate>false</LinksUpToDate>
  <CharactersWithSpaces>1289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2025-08-20T05:07:00Z</dcterms:created>
  <dc:creator>Wu, Jessie</dc:creator>
  <cp:lastModifiedBy>WPS_1627230657</cp:lastModifiedBy>
  <dcterms:modified xsi:type="dcterms:W3CDTF">2025-10-23T08:36:57Z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1bdb9b93,47a47204,700d15b1</vt:lpwstr>
  </property>
  <property fmtid="{D5CDD505-2E9C-101B-9397-08002B2CF9AE}" pid="3" name="ClassificationContentMarkingFooterFontProps">
    <vt:lpwstr>#0078d7,9,Rockwell</vt:lpwstr>
  </property>
  <property fmtid="{D5CDD505-2E9C-101B-9397-08002B2CF9AE}" pid="4" name="ClassificationContentMarkingFooterText">
    <vt:lpwstr>Information Classification: General</vt:lpwstr>
  </property>
  <property fmtid="{D5CDD505-2E9C-101B-9397-08002B2CF9AE}" pid="5" name="MSIP_Label_2bbab825-a111-45e4-86a1-18cee0005896_Enabled">
    <vt:lpwstr>true</vt:lpwstr>
  </property>
  <property fmtid="{D5CDD505-2E9C-101B-9397-08002B2CF9AE}" pid="6" name="MSIP_Label_2bbab825-a111-45e4-86a1-18cee0005896_SetDate">
    <vt:lpwstr>2024-11-06T07:43:45Z</vt:lpwstr>
  </property>
  <property fmtid="{D5CDD505-2E9C-101B-9397-08002B2CF9AE}" pid="7" name="MSIP_Label_2bbab825-a111-45e4-86a1-18cee0005896_Method">
    <vt:lpwstr>Standard</vt:lpwstr>
  </property>
  <property fmtid="{D5CDD505-2E9C-101B-9397-08002B2CF9AE}" pid="8" name="MSIP_Label_2bbab825-a111-45e4-86a1-18cee0005896_Name">
    <vt:lpwstr>2bbab825-a111-45e4-86a1-18cee0005896</vt:lpwstr>
  </property>
  <property fmtid="{D5CDD505-2E9C-101B-9397-08002B2CF9AE}" pid="9" name="MSIP_Label_2bbab825-a111-45e4-86a1-18cee0005896_SiteId">
    <vt:lpwstr>2567d566-604c-408a-8a60-55d0dc9d9d6b</vt:lpwstr>
  </property>
  <property fmtid="{D5CDD505-2E9C-101B-9397-08002B2CF9AE}" pid="10" name="MSIP_Label_2bbab825-a111-45e4-86a1-18cee0005896_ActionId">
    <vt:lpwstr>38debbb9-dd34-4f50-9395-6e7228b4caec</vt:lpwstr>
  </property>
  <property fmtid="{D5CDD505-2E9C-101B-9397-08002B2CF9AE}" pid="11" name="MSIP_Label_2bbab825-a111-45e4-86a1-18cee0005896_ContentBits">
    <vt:lpwstr>2</vt:lpwstr>
  </property>
  <property fmtid="{D5CDD505-2E9C-101B-9397-08002B2CF9AE}" pid="12" name="KSOProductBuildVer">
    <vt:lpwstr>2052-12.1.0.23125</vt:lpwstr>
  </property>
  <property fmtid="{D5CDD505-2E9C-101B-9397-08002B2CF9AE}" pid="13" name="ICV">
    <vt:lpwstr>F199FB0BC0B747B89961416CD668771C_13</vt:lpwstr>
  </property>
</Properties>
</file>