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heme="majorEastAsia" w:hAnsiTheme="majorEastAsia" w:eastAsiaTheme="majorEastAsia" w:cstheme="majorEastAsia"/>
          <w:b/>
          <w:bCs w:val="0"/>
          <w:sz w:val="36"/>
          <w:szCs w:val="36"/>
          <w:lang w:val="en-US" w:eastAsia="zh-CN"/>
        </w:rPr>
      </w:pPr>
      <w:r>
        <w:rPr>
          <w:rFonts w:hint="eastAsia" w:asciiTheme="majorEastAsia" w:hAnsiTheme="majorEastAsia" w:eastAsiaTheme="majorEastAsia" w:cstheme="majorEastAsia"/>
          <w:b/>
          <w:bCs w:val="0"/>
          <w:sz w:val="36"/>
          <w:szCs w:val="36"/>
          <w:lang w:val="en-US" w:eastAsia="zh-CN"/>
        </w:rPr>
        <w:t>2022中国智能家居产业博览会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时间：2022年7月08日-10日                       地点：南昌绿地国际展览中心</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bCs/>
          <w:color w:val="auto"/>
          <w:sz w:val="22"/>
          <w:szCs w:val="24"/>
          <w:lang w:val="en-US" w:eastAsia="zh-CN"/>
        </w:rPr>
        <w:t>主办单位：</w:t>
      </w:r>
      <w:r>
        <w:rPr>
          <w:rFonts w:hint="eastAsia" w:ascii="黑体" w:hAnsi="黑体" w:eastAsia="黑体" w:cs="黑体"/>
          <w:b w:val="0"/>
          <w:bCs w:val="0"/>
          <w:color w:val="auto"/>
          <w:sz w:val="22"/>
          <w:szCs w:val="24"/>
          <w:lang w:val="en-US" w:eastAsia="zh-CN"/>
        </w:rPr>
        <w:t xml:space="preserve">南昌市人民政府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firstLine="1100" w:firstLineChars="50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 xml:space="preserve">中国通信工业协会   </w:t>
      </w:r>
    </w:p>
    <w:p>
      <w:pPr>
        <w:keepNext w:val="0"/>
        <w:keepLines w:val="0"/>
        <w:pageBreakBefore w:val="0"/>
        <w:kinsoku/>
        <w:wordWrap/>
        <w:overflowPunct/>
        <w:topLinePunct w:val="0"/>
        <w:autoSpaceDE/>
        <w:autoSpaceDN/>
        <w:bidi w:val="0"/>
        <w:spacing w:line="240" w:lineRule="auto"/>
        <w:textAlignment w:val="auto"/>
        <w:rPr>
          <w:rFonts w:hint="eastAsia" w:ascii="黑体" w:hAnsi="黑体" w:eastAsia="黑体" w:cs="黑体"/>
          <w:sz w:val="22"/>
          <w:szCs w:val="22"/>
          <w:lang w:val="en-US" w:eastAsia="zh-CN"/>
        </w:rPr>
      </w:pPr>
      <w:r>
        <w:rPr>
          <w:rFonts w:hint="eastAsia" w:ascii="黑体" w:hAnsi="黑体" w:eastAsia="黑体" w:cs="黑体"/>
          <w:b/>
          <w:bCs/>
          <w:color w:val="auto"/>
          <w:sz w:val="22"/>
          <w:szCs w:val="24"/>
          <w:lang w:val="en-US" w:eastAsia="zh-CN"/>
        </w:rPr>
        <w:t>承办单位：</w:t>
      </w:r>
      <w:r>
        <w:rPr>
          <w:rFonts w:hint="eastAsia" w:ascii="黑体" w:hAnsi="黑体" w:eastAsia="黑体" w:cs="黑体"/>
          <w:sz w:val="22"/>
          <w:szCs w:val="22"/>
          <w:lang w:val="en-US" w:eastAsia="zh-CN"/>
        </w:rPr>
        <w:t>南昌市会展工作领导小组办公室</w:t>
      </w:r>
    </w:p>
    <w:p>
      <w:pPr>
        <w:keepNext w:val="0"/>
        <w:keepLines w:val="0"/>
        <w:pageBreakBefore w:val="0"/>
        <w:kinsoku/>
        <w:wordWrap/>
        <w:overflowPunct/>
        <w:topLinePunct w:val="0"/>
        <w:autoSpaceDE/>
        <w:autoSpaceDN/>
        <w:bidi w:val="0"/>
        <w:spacing w:line="240" w:lineRule="auto"/>
        <w:ind w:firstLine="1100" w:firstLineChars="500"/>
        <w:textAlignment w:val="auto"/>
        <w:rPr>
          <w:rFonts w:hint="eastAsia" w:ascii="黑体" w:hAnsi="黑体" w:eastAsia="黑体" w:cs="黑体"/>
          <w:sz w:val="22"/>
          <w:szCs w:val="22"/>
        </w:rPr>
      </w:pPr>
      <w:r>
        <w:rPr>
          <w:rFonts w:hint="eastAsia" w:ascii="黑体" w:hAnsi="黑体" w:eastAsia="黑体" w:cs="黑体"/>
          <w:sz w:val="22"/>
          <w:szCs w:val="22"/>
        </w:rPr>
        <w:t>南昌市</w:t>
      </w:r>
      <w:r>
        <w:rPr>
          <w:rFonts w:hint="eastAsia" w:ascii="黑体" w:hAnsi="黑体" w:eastAsia="黑体" w:cs="黑体"/>
          <w:sz w:val="22"/>
          <w:szCs w:val="22"/>
          <w:lang w:val="en-US" w:eastAsia="zh-CN"/>
        </w:rPr>
        <w:t>商务</w:t>
      </w:r>
      <w:r>
        <w:rPr>
          <w:rFonts w:hint="eastAsia" w:ascii="黑体" w:hAnsi="黑体" w:eastAsia="黑体" w:cs="黑体"/>
          <w:sz w:val="22"/>
          <w:szCs w:val="22"/>
        </w:rPr>
        <w:t>局</w:t>
      </w:r>
    </w:p>
    <w:p>
      <w:pPr>
        <w:keepNext w:val="0"/>
        <w:keepLines w:val="0"/>
        <w:pageBreakBefore w:val="0"/>
        <w:kinsoku/>
        <w:wordWrap/>
        <w:overflowPunct/>
        <w:topLinePunct w:val="0"/>
        <w:autoSpaceDE/>
        <w:autoSpaceDN/>
        <w:bidi w:val="0"/>
        <w:spacing w:line="240" w:lineRule="auto"/>
        <w:ind w:firstLine="1100" w:firstLineChars="500"/>
        <w:textAlignment w:val="auto"/>
        <w:rPr>
          <w:rFonts w:hint="eastAsia" w:ascii="黑体" w:hAnsi="黑体" w:eastAsia="黑体" w:cs="黑体"/>
          <w:sz w:val="32"/>
          <w:szCs w:val="32"/>
        </w:rPr>
      </w:pPr>
      <w:r>
        <w:rPr>
          <w:rFonts w:hint="eastAsia" w:ascii="黑体" w:hAnsi="黑体" w:eastAsia="黑体" w:cs="黑体"/>
          <w:sz w:val="22"/>
          <w:szCs w:val="22"/>
        </w:rPr>
        <w:t>高新区管委会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bCs/>
          <w:color w:val="auto"/>
          <w:sz w:val="22"/>
          <w:szCs w:val="24"/>
          <w:lang w:val="en-US" w:eastAsia="zh-CN"/>
        </w:rPr>
        <w:t>执行承办单位：</w:t>
      </w:r>
      <w:r>
        <w:rPr>
          <w:rFonts w:hint="eastAsia" w:ascii="黑体" w:hAnsi="黑体" w:eastAsia="黑体" w:cs="黑体"/>
          <w:b w:val="0"/>
          <w:bCs w:val="0"/>
          <w:color w:val="auto"/>
          <w:sz w:val="22"/>
          <w:szCs w:val="24"/>
          <w:lang w:val="en-US" w:eastAsia="zh-CN"/>
        </w:rPr>
        <w:t>中国通信工业协会品控自律联盟</w:t>
      </w:r>
    </w:p>
    <w:p>
      <w:pPr>
        <w:pStyle w:val="2"/>
        <w:keepNext w:val="0"/>
        <w:keepLines w:val="0"/>
        <w:pageBreakBefore w:val="0"/>
        <w:kinsoku/>
        <w:wordWrap/>
        <w:overflowPunct/>
        <w:topLinePunct w:val="0"/>
        <w:autoSpaceDE/>
        <w:autoSpaceDN/>
        <w:bidi w:val="0"/>
        <w:spacing w:line="240" w:lineRule="auto"/>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 xml:space="preserve">          南昌市安全技术防范协会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w:t>
      </w:r>
      <w:r>
        <w:rPr>
          <w:rFonts w:hint="eastAsia" w:ascii="黑体" w:hAnsi="黑体" w:eastAsia="黑体" w:cs="黑体"/>
          <w:b/>
          <w:bCs/>
          <w:color w:val="FF0000"/>
          <w:sz w:val="22"/>
          <w:szCs w:val="24"/>
          <w:lang w:val="en-US" w:eastAsia="zh-CN"/>
        </w:rPr>
        <w:t>展会概况</w:t>
      </w:r>
      <w:r>
        <w:rPr>
          <w:rFonts w:hint="eastAsia" w:ascii="黑体" w:hAnsi="黑体" w:eastAsia="黑体" w:cs="黑体"/>
          <w:b/>
          <w:bCs/>
          <w:color w:val="FF0000"/>
          <w:sz w:val="22"/>
          <w:szCs w:val="24"/>
          <w:lang w:val="zh-CN" w:eastAsia="zh-CN"/>
        </w:rPr>
        <w:t>】</w:t>
      </w:r>
    </w:p>
    <w:p>
      <w:pPr>
        <w:keepNext w:val="0"/>
        <w:keepLines w:val="0"/>
        <w:pageBreakBefore w:val="0"/>
        <w:widowControl/>
        <w:suppressLineNumbers w:val="0"/>
        <w:kinsoku/>
        <w:wordWrap/>
        <w:overflowPunct/>
        <w:topLinePunct w:val="0"/>
        <w:autoSpaceDE/>
        <w:autoSpaceDN/>
        <w:bidi w:val="0"/>
        <w:spacing w:line="240" w:lineRule="auto"/>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中国智能家居产业博览会，是由南昌市人民政府和中国通信工业协会共同主办的行业盛会，作为南昌市精心培育和重点扶持的品牌“产业会展”，是南昌市努力探索“产业＋会展”模式的又一“智慧名片”。 智博会以“智能创新 智享生活”为主题，为适应智能家居市场建设和企业拓展市场的要求，打造便捷智能家居交易平台、技术交流平台、信息共享平台，使中国智能家居产业博览会成为智能家居生产加工与流通消费的桥梁， 促进智能家居行业结构不断优化，全面推进智能家居流通与消费的不断升级。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w:t>
      </w:r>
      <w:r>
        <w:rPr>
          <w:rFonts w:hint="eastAsia" w:ascii="黑体" w:hAnsi="黑体" w:eastAsia="黑体" w:cs="黑体"/>
          <w:b/>
          <w:bCs/>
          <w:color w:val="FF0000"/>
          <w:sz w:val="22"/>
          <w:szCs w:val="24"/>
          <w:lang w:val="en-US" w:eastAsia="zh-CN"/>
        </w:rPr>
        <w:t>上届回顾</w:t>
      </w:r>
      <w:r>
        <w:rPr>
          <w:rFonts w:hint="eastAsia" w:ascii="黑体" w:hAnsi="黑体" w:eastAsia="黑体" w:cs="黑体"/>
          <w:b/>
          <w:bCs/>
          <w:color w:val="FF0000"/>
          <w:sz w:val="22"/>
          <w:szCs w:val="24"/>
          <w:lang w:val="zh-CN" w:eastAsia="zh-CN"/>
        </w:rPr>
        <w:t>】</w:t>
      </w:r>
    </w:p>
    <w:p>
      <w:pPr>
        <w:keepNext w:val="0"/>
        <w:keepLines w:val="0"/>
        <w:pageBreakBefore w:val="0"/>
        <w:widowControl/>
        <w:suppressLineNumbers w:val="0"/>
        <w:kinsoku/>
        <w:wordWrap/>
        <w:overflowPunct/>
        <w:topLinePunct w:val="0"/>
        <w:autoSpaceDE/>
        <w:autoSpaceDN/>
        <w:bidi w:val="0"/>
        <w:spacing w:line="240" w:lineRule="auto"/>
        <w:ind w:firstLine="440" w:firstLineChars="200"/>
        <w:jc w:val="left"/>
        <w:textAlignment w:val="auto"/>
        <w:rPr>
          <w:rFonts w:hint="eastAsia" w:ascii="黑体" w:hAnsi="黑体" w:eastAsia="黑体" w:cs="黑体"/>
          <w:color w:val="auto"/>
          <w:kern w:val="0"/>
          <w:sz w:val="22"/>
          <w:szCs w:val="22"/>
          <w:lang w:val="en-US" w:eastAsia="zh-CN" w:bidi="ar"/>
        </w:rPr>
      </w:pPr>
      <w:r>
        <w:rPr>
          <w:rFonts w:hint="eastAsia" w:ascii="黑体" w:hAnsi="黑体" w:eastAsia="黑体" w:cs="黑体"/>
          <w:color w:val="auto"/>
          <w:kern w:val="0"/>
          <w:sz w:val="22"/>
          <w:szCs w:val="22"/>
          <w:lang w:val="en-US" w:eastAsia="zh-CN" w:bidi="ar"/>
        </w:rPr>
        <w:t>2021CSE现场邀请中国电信、海尔智家、小米、公牛集团、格力、创维、方太、如影、 科大讯飞、萤石、大华乐橙、贝壳、杭州控客、上海集光、盈科行、科罗威等百余家智能家居一线品牌参会参展。展示范围涵盖全屋智能家居、智能安防、智能娱乐、智能生活科技、智慧社区、智慧家装及解决方案、核心技术与平台等七大领域。</w:t>
      </w:r>
    </w:p>
    <w:p>
      <w:pPr>
        <w:keepNext w:val="0"/>
        <w:keepLines w:val="0"/>
        <w:pageBreakBefore w:val="0"/>
        <w:widowControl/>
        <w:suppressLineNumbers w:val="0"/>
        <w:kinsoku/>
        <w:wordWrap/>
        <w:overflowPunct/>
        <w:topLinePunct w:val="0"/>
        <w:autoSpaceDE/>
        <w:autoSpaceDN/>
        <w:bidi w:val="0"/>
        <w:spacing w:line="240" w:lineRule="auto"/>
        <w:ind w:firstLine="440" w:firstLineChars="200"/>
        <w:jc w:val="left"/>
        <w:textAlignment w:val="auto"/>
        <w:rPr>
          <w:rFonts w:hint="eastAsia" w:ascii="黑体" w:hAnsi="黑体" w:eastAsia="黑体" w:cs="黑体"/>
          <w:color w:val="auto"/>
          <w:kern w:val="0"/>
          <w:sz w:val="22"/>
          <w:szCs w:val="22"/>
          <w:lang w:val="en-US" w:eastAsia="zh-CN" w:bidi="ar"/>
        </w:rPr>
      </w:pPr>
      <w:r>
        <w:rPr>
          <w:rFonts w:hint="eastAsia" w:ascii="黑体" w:hAnsi="黑体" w:eastAsia="黑体" w:cs="黑体"/>
          <w:color w:val="auto"/>
          <w:kern w:val="0"/>
          <w:sz w:val="22"/>
          <w:szCs w:val="22"/>
          <w:lang w:val="en-US" w:eastAsia="zh-CN" w:bidi="ar"/>
        </w:rPr>
        <w:t>据会后统计，2021CSE共接待近30余行业协会携旗下5000家会员单位团组参观。38家知名公司高管带队参观，逾1000名专业买家纷纷到场接洽，展会现场成功对接企业200多家。</w:t>
      </w:r>
    </w:p>
    <w:p>
      <w:pPr>
        <w:keepNext w:val="0"/>
        <w:keepLines w:val="0"/>
        <w:pageBreakBefore w:val="0"/>
        <w:widowControl/>
        <w:suppressLineNumbers w:val="0"/>
        <w:kinsoku/>
        <w:wordWrap/>
        <w:overflowPunct/>
        <w:topLinePunct w:val="0"/>
        <w:autoSpaceDE/>
        <w:autoSpaceDN/>
        <w:bidi w:val="0"/>
        <w:spacing w:line="240" w:lineRule="auto"/>
        <w:ind w:firstLine="440" w:firstLineChars="200"/>
        <w:jc w:val="left"/>
        <w:textAlignment w:val="auto"/>
        <w:rPr>
          <w:rFonts w:hint="eastAsia" w:ascii="黑体" w:hAnsi="黑体" w:eastAsia="黑体" w:cs="黑体"/>
          <w:color w:val="auto"/>
          <w:kern w:val="0"/>
          <w:sz w:val="22"/>
          <w:szCs w:val="22"/>
          <w:lang w:val="en-US" w:eastAsia="zh-CN" w:bidi="ar"/>
        </w:rPr>
      </w:pPr>
      <w:r>
        <w:rPr>
          <w:rFonts w:hint="eastAsia" w:ascii="黑体" w:hAnsi="黑体" w:eastAsia="黑体" w:cs="黑体"/>
          <w:color w:val="auto"/>
          <w:kern w:val="0"/>
          <w:sz w:val="22"/>
          <w:szCs w:val="22"/>
          <w:lang w:val="en-US" w:eastAsia="zh-CN" w:bidi="ar"/>
        </w:rPr>
        <w:t>2021CSE共邀约注册媒体105家，记者187人。央媒、省媒、专业媒体重点报道展会盛况，江西电视台、南昌电视台特设专题系列，全程报道展会的整体情况。使CSE成为智能家居行业的品牌贸易盛会。</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【日程安排】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zh-CN" w:eastAsia="zh-CN"/>
        </w:rPr>
        <w:t>报到布展：20</w:t>
      </w:r>
      <w:r>
        <w:rPr>
          <w:rFonts w:hint="eastAsia" w:ascii="黑体" w:hAnsi="黑体" w:eastAsia="黑体" w:cs="黑体"/>
          <w:b w:val="0"/>
          <w:bCs w:val="0"/>
          <w:color w:val="auto"/>
          <w:sz w:val="22"/>
          <w:szCs w:val="24"/>
          <w:lang w:val="en-US" w:eastAsia="zh-CN"/>
        </w:rPr>
        <w:t>22</w:t>
      </w:r>
      <w:r>
        <w:rPr>
          <w:rFonts w:hint="eastAsia" w:ascii="黑体" w:hAnsi="黑体" w:eastAsia="黑体" w:cs="黑体"/>
          <w:b w:val="0"/>
          <w:bCs w:val="0"/>
          <w:color w:val="auto"/>
          <w:sz w:val="22"/>
          <w:szCs w:val="24"/>
          <w:lang w:val="zh-CN" w:eastAsia="zh-CN"/>
        </w:rPr>
        <w:t>年</w:t>
      </w:r>
      <w:r>
        <w:rPr>
          <w:rFonts w:hint="eastAsia" w:ascii="黑体" w:hAnsi="黑体" w:eastAsia="黑体" w:cs="黑体"/>
          <w:b w:val="0"/>
          <w:bCs w:val="0"/>
          <w:color w:val="auto"/>
          <w:sz w:val="22"/>
          <w:szCs w:val="24"/>
          <w:lang w:val="en-US" w:eastAsia="zh-CN"/>
        </w:rPr>
        <w:t>7</w:t>
      </w:r>
      <w:r>
        <w:rPr>
          <w:rFonts w:hint="eastAsia" w:ascii="黑体" w:hAnsi="黑体" w:eastAsia="黑体" w:cs="黑体"/>
          <w:b w:val="0"/>
          <w:bCs w:val="0"/>
          <w:color w:val="auto"/>
          <w:sz w:val="22"/>
          <w:szCs w:val="24"/>
          <w:lang w:val="zh-CN" w:eastAsia="zh-CN"/>
        </w:rPr>
        <w:t>月</w:t>
      </w:r>
      <w:r>
        <w:rPr>
          <w:rFonts w:hint="eastAsia" w:ascii="黑体" w:hAnsi="黑体" w:eastAsia="黑体" w:cs="黑体"/>
          <w:b w:val="0"/>
          <w:bCs w:val="0"/>
          <w:color w:val="auto"/>
          <w:sz w:val="22"/>
          <w:szCs w:val="24"/>
          <w:lang w:val="en-US" w:eastAsia="zh-CN"/>
        </w:rPr>
        <w:t>6-7</w:t>
      </w:r>
      <w:r>
        <w:rPr>
          <w:rFonts w:hint="eastAsia" w:ascii="黑体" w:hAnsi="黑体" w:eastAsia="黑体" w:cs="黑体"/>
          <w:b w:val="0"/>
          <w:bCs w:val="0"/>
          <w:color w:val="auto"/>
          <w:sz w:val="22"/>
          <w:szCs w:val="24"/>
          <w:lang w:val="zh-CN" w:eastAsia="zh-CN"/>
        </w:rPr>
        <w:t>日（</w:t>
      </w:r>
      <w:r>
        <w:rPr>
          <w:rFonts w:hint="eastAsia" w:ascii="黑体" w:hAnsi="黑体" w:eastAsia="黑体" w:cs="黑体"/>
          <w:b w:val="0"/>
          <w:bCs w:val="0"/>
          <w:color w:val="auto"/>
          <w:sz w:val="22"/>
          <w:szCs w:val="24"/>
          <w:lang w:val="en-US" w:eastAsia="zh-CN"/>
        </w:rPr>
        <w:t>8</w:t>
      </w:r>
      <w:r>
        <w:rPr>
          <w:rFonts w:hint="eastAsia" w:ascii="黑体" w:hAnsi="黑体" w:eastAsia="黑体" w:cs="黑体"/>
          <w:b w:val="0"/>
          <w:bCs w:val="0"/>
          <w:color w:val="auto"/>
          <w:sz w:val="22"/>
          <w:szCs w:val="24"/>
          <w:lang w:val="zh-CN" w:eastAsia="zh-CN"/>
        </w:rPr>
        <w:t>：</w:t>
      </w:r>
      <w:r>
        <w:rPr>
          <w:rFonts w:hint="eastAsia" w:ascii="黑体" w:hAnsi="黑体" w:eastAsia="黑体" w:cs="黑体"/>
          <w:b w:val="0"/>
          <w:bCs w:val="0"/>
          <w:color w:val="auto"/>
          <w:sz w:val="22"/>
          <w:szCs w:val="24"/>
          <w:lang w:val="en-US" w:eastAsia="zh-CN"/>
        </w:rPr>
        <w:t>3</w:t>
      </w:r>
      <w:r>
        <w:rPr>
          <w:rFonts w:hint="eastAsia" w:ascii="黑体" w:hAnsi="黑体" w:eastAsia="黑体" w:cs="黑体"/>
          <w:b w:val="0"/>
          <w:bCs w:val="0"/>
          <w:color w:val="auto"/>
          <w:sz w:val="22"/>
          <w:szCs w:val="24"/>
          <w:lang w:val="zh-CN" w:eastAsia="zh-CN"/>
        </w:rPr>
        <w:t>0—1</w:t>
      </w:r>
      <w:r>
        <w:rPr>
          <w:rFonts w:hint="eastAsia" w:ascii="黑体" w:hAnsi="黑体" w:eastAsia="黑体" w:cs="黑体"/>
          <w:b w:val="0"/>
          <w:bCs w:val="0"/>
          <w:color w:val="auto"/>
          <w:sz w:val="22"/>
          <w:szCs w:val="24"/>
          <w:lang w:val="en-US" w:eastAsia="zh-CN"/>
        </w:rPr>
        <w:t>7</w:t>
      </w:r>
      <w:r>
        <w:rPr>
          <w:rFonts w:hint="eastAsia" w:ascii="黑体" w:hAnsi="黑体" w:eastAsia="黑体" w:cs="黑体"/>
          <w:b w:val="0"/>
          <w:bCs w:val="0"/>
          <w:color w:val="auto"/>
          <w:sz w:val="22"/>
          <w:szCs w:val="24"/>
          <w:lang w:val="zh-CN" w:eastAsia="zh-CN"/>
        </w:rPr>
        <w:t>：</w:t>
      </w:r>
      <w:r>
        <w:rPr>
          <w:rFonts w:hint="eastAsia" w:ascii="黑体" w:hAnsi="黑体" w:eastAsia="黑体" w:cs="黑体"/>
          <w:b w:val="0"/>
          <w:bCs w:val="0"/>
          <w:color w:val="auto"/>
          <w:sz w:val="22"/>
          <w:szCs w:val="24"/>
          <w:lang w:val="en-US" w:eastAsia="zh-CN"/>
        </w:rPr>
        <w:t>0</w:t>
      </w:r>
      <w:r>
        <w:rPr>
          <w:rFonts w:hint="eastAsia" w:ascii="黑体" w:hAnsi="黑体" w:eastAsia="黑体" w:cs="黑体"/>
          <w:b w:val="0"/>
          <w:bCs w:val="0"/>
          <w:color w:val="auto"/>
          <w:sz w:val="22"/>
          <w:szCs w:val="24"/>
          <w:lang w:val="zh-CN" w:eastAsia="zh-CN"/>
        </w:rPr>
        <w:t>0）</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zh-CN" w:eastAsia="zh-CN"/>
        </w:rPr>
        <w:t>展</w:t>
      </w:r>
      <w:r>
        <w:rPr>
          <w:rFonts w:hint="eastAsia" w:ascii="黑体" w:hAnsi="黑体" w:eastAsia="黑体" w:cs="黑体"/>
          <w:b w:val="0"/>
          <w:bCs w:val="0"/>
          <w:color w:val="auto"/>
          <w:sz w:val="22"/>
          <w:szCs w:val="24"/>
          <w:lang w:val="en-US" w:eastAsia="zh-CN"/>
        </w:rPr>
        <w:t>出时间</w:t>
      </w:r>
      <w:r>
        <w:rPr>
          <w:rFonts w:hint="eastAsia" w:ascii="黑体" w:hAnsi="黑体" w:eastAsia="黑体" w:cs="黑体"/>
          <w:b w:val="0"/>
          <w:bCs w:val="0"/>
          <w:color w:val="auto"/>
          <w:sz w:val="22"/>
          <w:szCs w:val="24"/>
          <w:lang w:val="zh-CN" w:eastAsia="zh-CN"/>
        </w:rPr>
        <w:t>：20</w:t>
      </w:r>
      <w:r>
        <w:rPr>
          <w:rFonts w:hint="eastAsia" w:ascii="黑体" w:hAnsi="黑体" w:eastAsia="黑体" w:cs="黑体"/>
          <w:b w:val="0"/>
          <w:bCs w:val="0"/>
          <w:color w:val="auto"/>
          <w:sz w:val="22"/>
          <w:szCs w:val="24"/>
          <w:lang w:val="en-US" w:eastAsia="zh-CN"/>
        </w:rPr>
        <w:t>22</w:t>
      </w:r>
      <w:r>
        <w:rPr>
          <w:rFonts w:hint="eastAsia" w:ascii="黑体" w:hAnsi="黑体" w:eastAsia="黑体" w:cs="黑体"/>
          <w:b w:val="0"/>
          <w:bCs w:val="0"/>
          <w:color w:val="auto"/>
          <w:sz w:val="22"/>
          <w:szCs w:val="24"/>
          <w:lang w:val="zh-CN" w:eastAsia="zh-CN"/>
        </w:rPr>
        <w:t>年</w:t>
      </w:r>
      <w:r>
        <w:rPr>
          <w:rFonts w:hint="eastAsia" w:ascii="黑体" w:hAnsi="黑体" w:eastAsia="黑体" w:cs="黑体"/>
          <w:b w:val="0"/>
          <w:bCs w:val="0"/>
          <w:color w:val="auto"/>
          <w:sz w:val="22"/>
          <w:szCs w:val="24"/>
          <w:lang w:val="en-US" w:eastAsia="zh-CN"/>
        </w:rPr>
        <w:t>7</w:t>
      </w:r>
      <w:r>
        <w:rPr>
          <w:rFonts w:hint="eastAsia" w:ascii="黑体" w:hAnsi="黑体" w:eastAsia="黑体" w:cs="黑体"/>
          <w:b w:val="0"/>
          <w:bCs w:val="0"/>
          <w:color w:val="auto"/>
          <w:sz w:val="22"/>
          <w:szCs w:val="24"/>
          <w:lang w:val="zh-CN" w:eastAsia="zh-CN"/>
        </w:rPr>
        <w:t>月</w:t>
      </w:r>
      <w:r>
        <w:rPr>
          <w:rFonts w:hint="eastAsia" w:ascii="黑体" w:hAnsi="黑体" w:eastAsia="黑体" w:cs="黑体"/>
          <w:b w:val="0"/>
          <w:bCs w:val="0"/>
          <w:color w:val="auto"/>
          <w:sz w:val="22"/>
          <w:szCs w:val="24"/>
          <w:lang w:val="en-US" w:eastAsia="zh-CN"/>
        </w:rPr>
        <w:t>8-10</w:t>
      </w:r>
      <w:r>
        <w:rPr>
          <w:rFonts w:hint="eastAsia" w:ascii="黑体" w:hAnsi="黑体" w:eastAsia="黑体" w:cs="黑体"/>
          <w:b w:val="0"/>
          <w:bCs w:val="0"/>
          <w:color w:val="auto"/>
          <w:sz w:val="22"/>
          <w:szCs w:val="24"/>
          <w:lang w:val="zh-CN" w:eastAsia="zh-CN"/>
        </w:rPr>
        <w:t>日（9：</w:t>
      </w:r>
      <w:r>
        <w:rPr>
          <w:rFonts w:hint="eastAsia" w:ascii="黑体" w:hAnsi="黑体" w:eastAsia="黑体" w:cs="黑体"/>
          <w:b w:val="0"/>
          <w:bCs w:val="0"/>
          <w:color w:val="auto"/>
          <w:sz w:val="22"/>
          <w:szCs w:val="24"/>
          <w:lang w:val="en-US" w:eastAsia="zh-CN"/>
        </w:rPr>
        <w:t>3</w:t>
      </w:r>
      <w:r>
        <w:rPr>
          <w:rFonts w:hint="eastAsia" w:ascii="黑体" w:hAnsi="黑体" w:eastAsia="黑体" w:cs="黑体"/>
          <w:b w:val="0"/>
          <w:bCs w:val="0"/>
          <w:color w:val="auto"/>
          <w:sz w:val="22"/>
          <w:szCs w:val="24"/>
          <w:lang w:val="zh-CN" w:eastAsia="zh-CN"/>
        </w:rPr>
        <w:t>0—1</w:t>
      </w:r>
      <w:r>
        <w:rPr>
          <w:rFonts w:hint="eastAsia" w:ascii="黑体" w:hAnsi="黑体" w:eastAsia="黑体" w:cs="黑体"/>
          <w:b w:val="0"/>
          <w:bCs w:val="0"/>
          <w:color w:val="auto"/>
          <w:sz w:val="22"/>
          <w:szCs w:val="24"/>
          <w:lang w:val="en-US" w:eastAsia="zh-CN"/>
        </w:rPr>
        <w:t>7</w:t>
      </w:r>
      <w:r>
        <w:rPr>
          <w:rFonts w:hint="eastAsia" w:ascii="黑体" w:hAnsi="黑体" w:eastAsia="黑体" w:cs="黑体"/>
          <w:b w:val="0"/>
          <w:bCs w:val="0"/>
          <w:color w:val="auto"/>
          <w:sz w:val="22"/>
          <w:szCs w:val="24"/>
          <w:lang w:val="zh-CN" w:eastAsia="zh-CN"/>
        </w:rPr>
        <w:t>：</w:t>
      </w:r>
      <w:r>
        <w:rPr>
          <w:rFonts w:hint="eastAsia" w:ascii="黑体" w:hAnsi="黑体" w:eastAsia="黑体" w:cs="黑体"/>
          <w:b w:val="0"/>
          <w:bCs w:val="0"/>
          <w:color w:val="auto"/>
          <w:sz w:val="22"/>
          <w:szCs w:val="24"/>
          <w:lang w:val="en-US" w:eastAsia="zh-CN"/>
        </w:rPr>
        <w:t>0</w:t>
      </w:r>
      <w:r>
        <w:rPr>
          <w:rFonts w:hint="eastAsia" w:ascii="黑体" w:hAnsi="黑体" w:eastAsia="黑体" w:cs="黑体"/>
          <w:b w:val="0"/>
          <w:bCs w:val="0"/>
          <w:color w:val="auto"/>
          <w:sz w:val="22"/>
          <w:szCs w:val="24"/>
          <w:lang w:val="zh-CN" w:eastAsia="zh-CN"/>
        </w:rPr>
        <w:t>0）</w:t>
      </w:r>
      <w:r>
        <w:rPr>
          <w:rFonts w:hint="eastAsia" w:ascii="黑体" w:hAnsi="黑体" w:eastAsia="黑体" w:cs="黑体"/>
          <w:b w:val="0"/>
          <w:bCs w:val="0"/>
          <w:color w:val="auto"/>
          <w:sz w:val="22"/>
          <w:szCs w:val="24"/>
          <w:lang w:val="en-US" w:eastAsia="zh-CN"/>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bCs/>
          <w:color w:val="auto"/>
          <w:sz w:val="22"/>
          <w:szCs w:val="24"/>
          <w:lang w:val="zh-CN" w:eastAsia="zh-CN"/>
        </w:rPr>
      </w:pPr>
      <w:r>
        <w:rPr>
          <w:rFonts w:hint="eastAsia" w:ascii="黑体" w:hAnsi="黑体" w:eastAsia="黑体" w:cs="黑体"/>
          <w:b w:val="0"/>
          <w:bCs w:val="0"/>
          <w:color w:val="auto"/>
          <w:sz w:val="22"/>
          <w:szCs w:val="24"/>
          <w:lang w:val="zh-CN" w:eastAsia="zh-CN"/>
        </w:rPr>
        <w:t>撤展时间：20</w:t>
      </w:r>
      <w:r>
        <w:rPr>
          <w:rFonts w:hint="eastAsia" w:ascii="黑体" w:hAnsi="黑体" w:eastAsia="黑体" w:cs="黑体"/>
          <w:b w:val="0"/>
          <w:bCs w:val="0"/>
          <w:color w:val="auto"/>
          <w:sz w:val="22"/>
          <w:szCs w:val="24"/>
          <w:lang w:val="en-US" w:eastAsia="zh-CN"/>
        </w:rPr>
        <w:t>22</w:t>
      </w:r>
      <w:r>
        <w:rPr>
          <w:rFonts w:hint="eastAsia" w:ascii="黑体" w:hAnsi="黑体" w:eastAsia="黑体" w:cs="黑体"/>
          <w:b w:val="0"/>
          <w:bCs w:val="0"/>
          <w:color w:val="auto"/>
          <w:sz w:val="22"/>
          <w:szCs w:val="24"/>
          <w:lang w:val="zh-CN" w:eastAsia="zh-CN"/>
        </w:rPr>
        <w:t>年</w:t>
      </w:r>
      <w:r>
        <w:rPr>
          <w:rFonts w:hint="eastAsia" w:ascii="黑体" w:hAnsi="黑体" w:eastAsia="黑体" w:cs="黑体"/>
          <w:b w:val="0"/>
          <w:bCs w:val="0"/>
          <w:color w:val="auto"/>
          <w:sz w:val="22"/>
          <w:szCs w:val="24"/>
          <w:lang w:val="en-US" w:eastAsia="zh-CN"/>
        </w:rPr>
        <w:t>7</w:t>
      </w:r>
      <w:r>
        <w:rPr>
          <w:rFonts w:hint="eastAsia" w:ascii="黑体" w:hAnsi="黑体" w:eastAsia="黑体" w:cs="黑体"/>
          <w:b w:val="0"/>
          <w:bCs w:val="0"/>
          <w:color w:val="auto"/>
          <w:sz w:val="22"/>
          <w:szCs w:val="24"/>
          <w:lang w:val="zh-CN" w:eastAsia="zh-CN"/>
        </w:rPr>
        <w:t>月</w:t>
      </w:r>
      <w:r>
        <w:rPr>
          <w:rFonts w:hint="eastAsia" w:ascii="黑体" w:hAnsi="黑体" w:eastAsia="黑体" w:cs="黑体"/>
          <w:b w:val="0"/>
          <w:bCs w:val="0"/>
          <w:color w:val="auto"/>
          <w:sz w:val="22"/>
          <w:szCs w:val="24"/>
          <w:lang w:val="en-US" w:eastAsia="zh-CN"/>
        </w:rPr>
        <w:t>10</w:t>
      </w:r>
      <w:r>
        <w:rPr>
          <w:rFonts w:hint="eastAsia" w:ascii="黑体" w:hAnsi="黑体" w:eastAsia="黑体" w:cs="黑体"/>
          <w:b w:val="0"/>
          <w:bCs w:val="0"/>
          <w:color w:val="auto"/>
          <w:sz w:val="22"/>
          <w:szCs w:val="24"/>
          <w:lang w:val="zh-CN" w:eastAsia="zh-CN"/>
        </w:rPr>
        <w:t>日（14：00—</w:t>
      </w:r>
      <w:r>
        <w:rPr>
          <w:rFonts w:hint="eastAsia" w:ascii="黑体" w:hAnsi="黑体" w:eastAsia="黑体" w:cs="黑体"/>
          <w:b w:val="0"/>
          <w:bCs w:val="0"/>
          <w:color w:val="auto"/>
          <w:sz w:val="22"/>
          <w:szCs w:val="24"/>
          <w:lang w:val="en-US" w:eastAsia="zh-CN"/>
        </w:rPr>
        <w:t>24:00</w:t>
      </w:r>
      <w:r>
        <w:rPr>
          <w:rFonts w:hint="eastAsia" w:ascii="黑体" w:hAnsi="黑体" w:eastAsia="黑体" w:cs="黑体"/>
          <w:b w:val="0"/>
          <w:bCs w:val="0"/>
          <w:color w:val="auto"/>
          <w:sz w:val="22"/>
          <w:szCs w:val="24"/>
          <w:lang w:val="zh-CN"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zh-CN" w:eastAsia="zh-CN"/>
        </w:rPr>
        <w:t>（注：具体时间最终以参展指南为准。）</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【展会亮点】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bCs/>
          <w:color w:val="auto"/>
          <w:sz w:val="22"/>
          <w:szCs w:val="24"/>
          <w:lang w:val="en-US" w:eastAsia="zh-CN"/>
        </w:rPr>
      </w:pPr>
      <w:r>
        <w:rPr>
          <w:rFonts w:hint="eastAsia" w:ascii="黑体" w:hAnsi="黑体" w:eastAsia="黑体" w:cs="黑体"/>
          <w:b/>
          <w:bCs/>
          <w:color w:val="auto"/>
          <w:sz w:val="22"/>
          <w:szCs w:val="24"/>
          <w:lang w:val="en-US" w:eastAsia="zh-CN"/>
        </w:rPr>
        <w:t>&lt;&lt;高端权威&gt;&gt;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zh-CN" w:eastAsia="zh-CN"/>
        </w:rPr>
        <w:t>国家重点关注新兴产业</w:t>
      </w:r>
      <w:r>
        <w:rPr>
          <w:rFonts w:hint="eastAsia" w:ascii="黑体" w:hAnsi="黑体" w:eastAsia="黑体" w:cs="黑体"/>
          <w:b w:val="0"/>
          <w:bCs w:val="0"/>
          <w:color w:val="auto"/>
          <w:sz w:val="22"/>
          <w:szCs w:val="24"/>
          <w:lang w:val="en-US"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政府机构及行业协会权威支持，构建全国最具专业的智能家居行业交流服务平台；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3万平米综合展示，优质买家实效市场对接，数场千人以上专业参观采购团；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媒体保驾护航，技术成果及品牌塑造全方位整合展示。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bCs/>
          <w:color w:val="auto"/>
          <w:sz w:val="22"/>
          <w:szCs w:val="24"/>
          <w:lang w:val="en-US" w:eastAsia="zh-CN"/>
        </w:rPr>
      </w:pPr>
      <w:r>
        <w:rPr>
          <w:rFonts w:hint="eastAsia" w:ascii="黑体" w:hAnsi="黑体" w:eastAsia="黑体" w:cs="黑体"/>
          <w:b/>
          <w:bCs/>
          <w:color w:val="auto"/>
          <w:sz w:val="22"/>
          <w:szCs w:val="24"/>
          <w:lang w:val="en-US" w:eastAsia="zh-CN"/>
        </w:rPr>
        <w:t>&lt;&lt;智产引领&gt;&gt;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新技术、新产品阵地，尽揽前沿理念；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搭建国际化、前沿化、市场化、标准化高端合作交流平台；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多元化宣传推广平台，高效锁定数万专业买家；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bCs/>
          <w:color w:val="auto"/>
          <w:sz w:val="22"/>
          <w:szCs w:val="24"/>
          <w:lang w:val="en-US" w:eastAsia="zh-CN"/>
        </w:rPr>
      </w:pPr>
      <w:r>
        <w:rPr>
          <w:rFonts w:hint="eastAsia" w:ascii="黑体" w:hAnsi="黑体" w:eastAsia="黑体" w:cs="黑体"/>
          <w:b/>
          <w:bCs/>
          <w:color w:val="auto"/>
          <w:sz w:val="22"/>
          <w:szCs w:val="24"/>
          <w:lang w:val="en-US" w:eastAsia="zh-CN"/>
        </w:rPr>
        <w:t>&lt;&lt;聚焦前沿&gt;&gt;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汇聚行业精英人士，把握市场动向，网罗全球商机；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聚焦行业热点趋势，贯通全球行业产业链；</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全球媒体现场直击，全方位详细报道。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w:t>
      </w:r>
      <w:r>
        <w:rPr>
          <w:rFonts w:hint="eastAsia" w:ascii="黑体" w:hAnsi="黑体" w:eastAsia="黑体" w:cs="黑体"/>
          <w:b/>
          <w:bCs/>
          <w:color w:val="FF0000"/>
          <w:sz w:val="22"/>
          <w:szCs w:val="24"/>
          <w:lang w:val="en-US" w:eastAsia="zh-CN"/>
        </w:rPr>
        <w:t>特邀观众</w:t>
      </w:r>
      <w:r>
        <w:rPr>
          <w:rFonts w:hint="eastAsia" w:ascii="黑体" w:hAnsi="黑体" w:eastAsia="黑体" w:cs="黑体"/>
          <w:b/>
          <w:bCs/>
          <w:color w:val="FF0000"/>
          <w:sz w:val="22"/>
          <w:szCs w:val="24"/>
          <w:lang w:val="zh-CN"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val="0"/>
          <w:bCs w:val="0"/>
          <w:color w:val="auto"/>
          <w:sz w:val="22"/>
          <w:szCs w:val="24"/>
          <w:lang w:val="en-US" w:eastAsia="zh-CN"/>
        </w:rPr>
      </w:pPr>
      <w:r>
        <w:rPr>
          <w:rFonts w:hint="eastAsia" w:ascii="宋体" w:hAnsi="宋体" w:eastAsia="宋体" w:cs="宋体"/>
          <w:b w:val="0"/>
          <w:bCs w:val="0"/>
          <w:color w:val="auto"/>
          <w:sz w:val="21"/>
          <w:szCs w:val="22"/>
          <w:lang w:val="en-US" w:eastAsia="zh-CN"/>
        </w:rPr>
        <w:t>■</w:t>
      </w:r>
      <w:r>
        <w:rPr>
          <w:rFonts w:hint="default" w:ascii="黑体" w:hAnsi="黑体" w:eastAsia="黑体" w:cs="黑体"/>
          <w:b w:val="0"/>
          <w:bCs w:val="0"/>
          <w:color w:val="auto"/>
          <w:sz w:val="22"/>
          <w:szCs w:val="24"/>
          <w:lang w:val="en-US" w:eastAsia="zh-CN"/>
        </w:rPr>
        <w:t>政府相关部门、通讯、教育、银行、科学、IT计算机、工业、科研院、高校、医院、酒店、公寓别墅、商场、餐厅等相关领导及采购人员等；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val="0"/>
          <w:bCs w:val="0"/>
          <w:color w:val="auto"/>
          <w:sz w:val="22"/>
          <w:szCs w:val="24"/>
          <w:lang w:val="en-US" w:eastAsia="zh-CN"/>
        </w:rPr>
      </w:pPr>
      <w:r>
        <w:rPr>
          <w:rFonts w:hint="eastAsia" w:ascii="宋体" w:hAnsi="宋体" w:eastAsia="宋体" w:cs="宋体"/>
          <w:b w:val="0"/>
          <w:bCs w:val="0"/>
          <w:color w:val="auto"/>
          <w:sz w:val="21"/>
          <w:szCs w:val="22"/>
          <w:lang w:val="en-US" w:eastAsia="zh-CN"/>
        </w:rPr>
        <w:t>■</w:t>
      </w:r>
      <w:r>
        <w:rPr>
          <w:rFonts w:hint="default" w:ascii="黑体" w:hAnsi="黑体" w:eastAsia="黑体" w:cs="黑体"/>
          <w:b w:val="0"/>
          <w:bCs w:val="0"/>
          <w:color w:val="auto"/>
          <w:sz w:val="22"/>
          <w:szCs w:val="24"/>
          <w:lang w:val="en-US" w:eastAsia="zh-CN"/>
        </w:rPr>
        <w:t>标准编制机构、国内外经销代理商、批发商、进出口贸易商、工程商/OEM/ODM等；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val="0"/>
          <w:bCs w:val="0"/>
          <w:color w:val="auto"/>
          <w:sz w:val="22"/>
          <w:szCs w:val="24"/>
          <w:lang w:val="en-US" w:eastAsia="zh-CN"/>
        </w:rPr>
      </w:pPr>
      <w:r>
        <w:rPr>
          <w:rFonts w:hint="eastAsia" w:ascii="宋体" w:hAnsi="宋体" w:eastAsia="宋体" w:cs="宋体"/>
          <w:b w:val="0"/>
          <w:bCs w:val="0"/>
          <w:color w:val="auto"/>
          <w:sz w:val="21"/>
          <w:szCs w:val="22"/>
          <w:lang w:val="en-US" w:eastAsia="zh-CN"/>
        </w:rPr>
        <w:t>■</w:t>
      </w:r>
      <w:r>
        <w:rPr>
          <w:rFonts w:hint="default" w:ascii="黑体" w:hAnsi="黑体" w:eastAsia="黑体" w:cs="黑体"/>
          <w:b w:val="0"/>
          <w:bCs w:val="0"/>
          <w:color w:val="auto"/>
          <w:sz w:val="22"/>
          <w:szCs w:val="24"/>
          <w:lang w:val="en-US" w:eastAsia="zh-CN"/>
        </w:rPr>
        <w:t>设计/规划部门、采购部门、相关协会、商会、学会、等行业组织的专家、学者等；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default" w:ascii="黑体" w:hAnsi="黑体" w:eastAsia="黑体" w:cs="黑体"/>
          <w:b w:val="0"/>
          <w:bCs w:val="0"/>
          <w:color w:val="auto"/>
          <w:sz w:val="22"/>
          <w:szCs w:val="24"/>
          <w:lang w:val="en-US" w:eastAsia="zh-CN"/>
        </w:rPr>
      </w:pPr>
      <w:r>
        <w:rPr>
          <w:rFonts w:hint="eastAsia" w:ascii="宋体" w:hAnsi="宋体" w:eastAsia="宋体" w:cs="宋体"/>
          <w:b w:val="0"/>
          <w:bCs w:val="0"/>
          <w:color w:val="auto"/>
          <w:sz w:val="21"/>
          <w:szCs w:val="22"/>
          <w:lang w:val="en-US" w:eastAsia="zh-CN"/>
        </w:rPr>
        <w:t>■</w:t>
      </w:r>
      <w:r>
        <w:rPr>
          <w:rFonts w:hint="default" w:ascii="黑体" w:hAnsi="黑体" w:eastAsia="黑体" w:cs="黑体"/>
          <w:b w:val="0"/>
          <w:bCs w:val="0"/>
          <w:color w:val="auto"/>
          <w:sz w:val="22"/>
          <w:szCs w:val="24"/>
          <w:lang w:val="en-US" w:eastAsia="zh-CN"/>
        </w:rPr>
        <w:t>智能产品流通渠道及市场、智能产品销售渠道及市场、商场及超市等；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en-US" w:eastAsia="zh-CN"/>
        </w:rPr>
      </w:pPr>
      <w:r>
        <w:rPr>
          <w:rFonts w:hint="eastAsia" w:ascii="宋体" w:hAnsi="宋体" w:eastAsia="宋体" w:cs="宋体"/>
          <w:b w:val="0"/>
          <w:bCs w:val="0"/>
          <w:color w:val="auto"/>
          <w:sz w:val="21"/>
          <w:szCs w:val="22"/>
          <w:lang w:val="en-US" w:eastAsia="zh-CN"/>
        </w:rPr>
        <w:t>■</w:t>
      </w:r>
      <w:r>
        <w:rPr>
          <w:rFonts w:hint="default" w:ascii="黑体" w:hAnsi="黑体" w:eastAsia="黑体" w:cs="黑体"/>
          <w:b w:val="0"/>
          <w:bCs w:val="0"/>
          <w:color w:val="auto"/>
          <w:sz w:val="22"/>
          <w:szCs w:val="24"/>
          <w:lang w:val="en-US" w:eastAsia="zh-CN"/>
        </w:rPr>
        <w:t>房地产开发商、业主/装饰装修公司、高端客户/智能社区、弱电系统集成商、建筑机构/市政管理楼宇/物业管理等</w:t>
      </w:r>
      <w:r>
        <w:rPr>
          <w:rFonts w:hint="eastAsia" w:ascii="黑体" w:hAnsi="黑体" w:eastAsia="黑体" w:cs="黑体"/>
          <w:b w:val="0"/>
          <w:bCs w:val="0"/>
          <w:color w:val="auto"/>
          <w:sz w:val="22"/>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w:t>
      </w:r>
      <w:r>
        <w:rPr>
          <w:rFonts w:hint="eastAsia" w:ascii="黑体" w:hAnsi="黑体" w:eastAsia="黑体" w:cs="黑体"/>
          <w:b/>
          <w:bCs/>
          <w:color w:val="FF0000"/>
          <w:sz w:val="22"/>
          <w:szCs w:val="24"/>
          <w:lang w:val="en-US" w:eastAsia="zh-CN"/>
        </w:rPr>
        <w:t>展出范围</w:t>
      </w:r>
      <w:r>
        <w:rPr>
          <w:rFonts w:hint="eastAsia" w:ascii="黑体" w:hAnsi="黑体" w:eastAsia="黑体" w:cs="黑体"/>
          <w:b/>
          <w:bCs/>
          <w:color w:val="FF0000"/>
          <w:sz w:val="22"/>
          <w:szCs w:val="24"/>
          <w:lang w:val="zh-CN" w:eastAsia="zh-CN"/>
        </w:rPr>
        <w:t>】</w:t>
      </w:r>
    </w:p>
    <w:p>
      <w:pPr>
        <w:pStyle w:val="2"/>
        <w:ind w:left="0" w:leftChars="0" w:firstLine="0" w:firstLineChars="0"/>
        <w:rPr>
          <w:rFonts w:hint="eastAsia" w:ascii="黑体" w:hAnsi="黑体" w:eastAsia="黑体" w:cs="黑体"/>
          <w:color w:val="auto"/>
          <w:kern w:val="2"/>
          <w:sz w:val="22"/>
          <w:szCs w:val="22"/>
          <w:lang w:val="en-US" w:eastAsia="zh-CN" w:bidi="ar-SA"/>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智慧暖通：</w:t>
      </w:r>
      <w:r>
        <w:rPr>
          <w:rFonts w:hint="eastAsia" w:ascii="黑体" w:hAnsi="黑体" w:eastAsia="黑体" w:cs="黑体"/>
          <w:color w:val="auto"/>
          <w:kern w:val="2"/>
          <w:sz w:val="22"/>
          <w:szCs w:val="22"/>
          <w:lang w:val="en-US" w:eastAsia="zh-CN" w:bidi="ar-SA"/>
        </w:rPr>
        <w:t>中央空调、商用空调、全空气系统、热泵、壁挂炉、散热器、太阳能供热、温控器热计量、毛细管网辐射吊顶等；</w:t>
      </w:r>
    </w:p>
    <w:p>
      <w:pPr>
        <w:pStyle w:val="2"/>
        <w:ind w:left="0" w:leftChars="0" w:firstLine="0" w:firstLineChars="0"/>
        <w:rPr>
          <w:rFonts w:hint="eastAsia" w:ascii="黑体" w:hAnsi="黑体" w:eastAsia="黑体" w:cs="黑体"/>
          <w:color w:val="auto"/>
          <w:kern w:val="2"/>
          <w:sz w:val="22"/>
          <w:szCs w:val="22"/>
          <w:lang w:val="en-US" w:eastAsia="zh-CN" w:bidi="ar-SA"/>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智能影音娱乐：</w:t>
      </w:r>
      <w:r>
        <w:rPr>
          <w:rFonts w:hint="eastAsia" w:ascii="黑体" w:hAnsi="黑体" w:eastAsia="黑体" w:cs="黑体"/>
          <w:color w:val="auto"/>
          <w:kern w:val="2"/>
          <w:sz w:val="22"/>
          <w:szCs w:val="22"/>
          <w:lang w:val="en-US" w:eastAsia="zh-CN" w:bidi="ar-SA"/>
        </w:rPr>
        <w:t>音视频设备、智能控制设备、网络服务设备等；</w:t>
      </w:r>
    </w:p>
    <w:p>
      <w:pPr>
        <w:pStyle w:val="2"/>
        <w:ind w:left="0" w:leftChars="0" w:firstLine="0" w:firstLineChars="0"/>
        <w:rPr>
          <w:rFonts w:hint="eastAsia" w:ascii="黑体" w:hAnsi="黑体" w:eastAsia="黑体" w:cs="黑体"/>
          <w:color w:val="auto"/>
          <w:kern w:val="2"/>
          <w:sz w:val="22"/>
          <w:szCs w:val="22"/>
          <w:lang w:val="en-US" w:eastAsia="zh-CN" w:bidi="ar-SA"/>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智能家电：</w:t>
      </w:r>
      <w:r>
        <w:rPr>
          <w:rFonts w:hint="eastAsia" w:ascii="黑体" w:hAnsi="黑体" w:eastAsia="黑体" w:cs="黑体"/>
          <w:color w:val="auto"/>
          <w:sz w:val="22"/>
          <w:szCs w:val="22"/>
        </w:rPr>
        <w:t>智能扫地机、智能电视、智能空调、智能冰箱、空气净化器、智能饮水机、智能热水器、3D打印机、智能平衡车、无线充电</w:t>
      </w:r>
      <w:r>
        <w:rPr>
          <w:rFonts w:hint="eastAsia" w:ascii="黑体" w:hAnsi="黑体" w:eastAsia="黑体" w:cs="黑体"/>
          <w:color w:val="auto"/>
          <w:sz w:val="22"/>
          <w:szCs w:val="22"/>
          <w:lang w:eastAsia="zh-CN"/>
        </w:rPr>
        <w:t>、</w:t>
      </w:r>
      <w:r>
        <w:rPr>
          <w:rFonts w:hint="eastAsia" w:ascii="黑体" w:hAnsi="黑体" w:eastAsia="黑体" w:cs="黑体"/>
          <w:color w:val="auto"/>
          <w:sz w:val="22"/>
          <w:szCs w:val="22"/>
        </w:rPr>
        <w:t>智能插座、智能开关</w:t>
      </w:r>
      <w:r>
        <w:rPr>
          <w:rFonts w:hint="eastAsia" w:ascii="黑体" w:hAnsi="黑体" w:eastAsia="黑体" w:cs="黑体"/>
          <w:color w:val="auto"/>
          <w:kern w:val="2"/>
          <w:sz w:val="22"/>
          <w:szCs w:val="22"/>
          <w:lang w:val="en-US" w:eastAsia="zh-CN" w:bidi="ar-SA"/>
        </w:rPr>
        <w:t>等；</w:t>
      </w:r>
    </w:p>
    <w:p>
      <w:pPr>
        <w:pStyle w:val="2"/>
        <w:ind w:left="0" w:leftChars="0" w:firstLine="0" w:firstLineChars="0"/>
        <w:rPr>
          <w:rFonts w:hint="eastAsia" w:ascii="黑体" w:hAnsi="黑体" w:eastAsia="黑体" w:cs="黑体"/>
          <w:color w:val="auto"/>
          <w:sz w:val="22"/>
          <w:szCs w:val="22"/>
          <w:lang w:val="en-US" w:eastAsia="zh-CN"/>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智慧家居产品：</w:t>
      </w:r>
      <w:r>
        <w:rPr>
          <w:rFonts w:hint="eastAsia" w:ascii="黑体" w:hAnsi="黑体" w:eastAsia="黑体" w:cs="黑体"/>
          <w:color w:val="auto"/>
          <w:kern w:val="2"/>
          <w:sz w:val="22"/>
          <w:szCs w:val="22"/>
          <w:lang w:val="en-US" w:eastAsia="zh-CN" w:bidi="ar-SA"/>
        </w:rPr>
        <w:t>晾衣系统、智能卫浴、智能穿戴、新风净化、全屋净水、晾衣系统、智能窗帘、智能照明、</w:t>
      </w:r>
      <w:r>
        <w:rPr>
          <w:rFonts w:hint="eastAsia" w:ascii="黑体" w:hAnsi="黑体" w:eastAsia="黑体" w:cs="黑体"/>
          <w:color w:val="auto"/>
          <w:sz w:val="22"/>
          <w:szCs w:val="22"/>
        </w:rPr>
        <w:t>智能开窗器</w:t>
      </w:r>
      <w:r>
        <w:rPr>
          <w:rFonts w:hint="eastAsia" w:ascii="黑体" w:hAnsi="黑体" w:eastAsia="黑体" w:cs="黑体"/>
          <w:color w:val="auto"/>
          <w:kern w:val="2"/>
          <w:sz w:val="22"/>
          <w:szCs w:val="22"/>
          <w:lang w:val="en-US" w:eastAsia="zh-CN" w:bidi="ar-SA"/>
        </w:rPr>
        <w:t>等；</w:t>
      </w:r>
    </w:p>
    <w:p>
      <w:pPr>
        <w:pStyle w:val="2"/>
        <w:ind w:left="0" w:leftChars="0" w:firstLine="0" w:firstLineChars="0"/>
        <w:rPr>
          <w:rFonts w:hint="eastAsia" w:ascii="黑体" w:hAnsi="黑体" w:eastAsia="黑体" w:cs="黑体"/>
          <w:color w:val="auto"/>
          <w:kern w:val="2"/>
          <w:sz w:val="22"/>
          <w:szCs w:val="22"/>
          <w:lang w:val="en-US" w:eastAsia="zh-CN" w:bidi="ar-SA"/>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全屋智能化系统：</w:t>
      </w:r>
      <w:r>
        <w:rPr>
          <w:rFonts w:hint="eastAsia" w:ascii="黑体" w:hAnsi="黑体" w:eastAsia="黑体" w:cs="黑体"/>
          <w:color w:val="auto"/>
          <w:kern w:val="2"/>
          <w:sz w:val="22"/>
          <w:szCs w:val="22"/>
          <w:lang w:val="en-US" w:eastAsia="zh-CN" w:bidi="ar-SA"/>
        </w:rPr>
        <w:t>控制主机、电器控制系统、家庭网络系统、智能硬件产品、云平台等；</w:t>
      </w:r>
    </w:p>
    <w:p>
      <w:pPr>
        <w:pStyle w:val="2"/>
        <w:ind w:left="0" w:leftChars="0" w:firstLine="0" w:firstLineChars="0"/>
        <w:rPr>
          <w:rFonts w:hint="eastAsia" w:ascii="黑体" w:hAnsi="黑体" w:eastAsia="黑体" w:cs="黑体"/>
          <w:color w:val="auto"/>
          <w:kern w:val="2"/>
          <w:sz w:val="22"/>
          <w:szCs w:val="22"/>
          <w:lang w:val="en-US" w:eastAsia="zh-CN" w:bidi="ar-SA"/>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智慧安防：</w:t>
      </w:r>
      <w:r>
        <w:rPr>
          <w:rFonts w:hint="eastAsia" w:ascii="黑体" w:hAnsi="黑体" w:eastAsia="黑体" w:cs="黑体"/>
          <w:color w:val="auto"/>
          <w:kern w:val="2"/>
          <w:sz w:val="22"/>
          <w:szCs w:val="22"/>
          <w:lang w:val="en-US" w:eastAsia="zh-CN" w:bidi="ar-SA"/>
        </w:rPr>
        <w:t>防盗报警系统、视频监控系统、家居布线系统、自动抄表、智能（电子）猫眼、智能摄像头、智能门锁、报警探测器等；</w:t>
      </w:r>
    </w:p>
    <w:p>
      <w:pPr>
        <w:pStyle w:val="2"/>
        <w:ind w:left="0" w:leftChars="0" w:firstLine="0" w:firstLineChars="0"/>
        <w:rPr>
          <w:rFonts w:hint="eastAsia" w:ascii="黑体" w:hAnsi="黑体" w:eastAsia="黑体" w:cs="黑体"/>
          <w:color w:val="auto"/>
          <w:kern w:val="2"/>
          <w:sz w:val="22"/>
          <w:szCs w:val="22"/>
          <w:lang w:val="en-US" w:eastAsia="zh-CN" w:bidi="ar-SA"/>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智能控制/物联：</w:t>
      </w:r>
      <w:r>
        <w:rPr>
          <w:rFonts w:hint="eastAsia" w:ascii="黑体" w:hAnsi="黑体" w:eastAsia="黑体" w:cs="黑体"/>
          <w:color w:val="auto"/>
          <w:kern w:val="2"/>
          <w:sz w:val="22"/>
          <w:szCs w:val="22"/>
          <w:lang w:val="en-US" w:eastAsia="zh-CN" w:bidi="ar-SA"/>
        </w:rPr>
        <w:t>解决平台及方案、APP应用软件、大数据储存及分析系统、数据管理、智能设备芯片、传感器、锂电池(纽扣电池)等；</w:t>
      </w:r>
    </w:p>
    <w:p>
      <w:pPr>
        <w:pStyle w:val="2"/>
        <w:ind w:left="0" w:leftChars="0" w:firstLine="0" w:firstLineChars="0"/>
        <w:rPr>
          <w:rFonts w:hint="eastAsia" w:ascii="黑体" w:hAnsi="黑体" w:eastAsia="黑体" w:cs="黑体"/>
          <w:b/>
          <w:bCs/>
          <w:color w:val="auto"/>
          <w:sz w:val="22"/>
          <w:szCs w:val="24"/>
          <w:lang w:val="zh-CN" w:eastAsia="zh-CN"/>
        </w:rPr>
      </w:pPr>
      <w:r>
        <w:rPr>
          <w:rFonts w:hint="eastAsia" w:ascii="宋体" w:hAnsi="宋体" w:eastAsia="宋体" w:cs="宋体"/>
          <w:b/>
          <w:bCs/>
          <w:color w:val="auto"/>
          <w:sz w:val="22"/>
          <w:szCs w:val="24"/>
          <w:lang w:val="en-US" w:eastAsia="zh-CN"/>
        </w:rPr>
        <w:t>◎</w:t>
      </w:r>
      <w:r>
        <w:rPr>
          <w:rFonts w:hint="eastAsia" w:ascii="黑体" w:hAnsi="黑体" w:eastAsia="黑体" w:cs="黑体"/>
          <w:b/>
          <w:bCs/>
          <w:color w:val="auto"/>
          <w:kern w:val="2"/>
          <w:sz w:val="22"/>
          <w:szCs w:val="22"/>
          <w:lang w:val="en-US" w:eastAsia="zh-CN" w:bidi="ar-SA"/>
        </w:rPr>
        <w:t>智慧社区及物业管理：</w:t>
      </w:r>
      <w:r>
        <w:rPr>
          <w:rFonts w:hint="eastAsia" w:ascii="黑体" w:hAnsi="黑体" w:eastAsia="黑体" w:cs="黑体"/>
          <w:color w:val="auto"/>
          <w:kern w:val="2"/>
          <w:sz w:val="22"/>
          <w:szCs w:val="22"/>
          <w:lang w:val="en-US" w:eastAsia="zh-CN" w:bidi="ar-SA"/>
        </w:rPr>
        <w:t>物业管理、自动零售、人脸识别、智慧停车、社区主机、楼宇对讲机、智慧养老等。</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【同期活动】</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1.开幕式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kern w:val="0"/>
          <w:sz w:val="22"/>
          <w:szCs w:val="22"/>
          <w:lang w:val="en-US" w:eastAsia="zh-CN" w:bidi="ar"/>
        </w:rPr>
      </w:pPr>
      <w:r>
        <w:rPr>
          <w:rFonts w:hint="eastAsia" w:ascii="黑体" w:hAnsi="黑体" w:eastAsia="黑体" w:cs="黑体"/>
          <w:color w:val="auto"/>
          <w:kern w:val="0"/>
          <w:sz w:val="22"/>
          <w:szCs w:val="22"/>
          <w:lang w:val="en-US" w:eastAsia="zh-CN" w:bidi="ar"/>
        </w:rPr>
        <w:t xml:space="preserve">2.中国智能家居及NFC产业主旨论坛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3.智能家居产品创新技术发布推介会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4.智能安防创新技术论坛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5.2022“智博杯”中国室内设计大赛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6.智能家电“物联网”标准与检测论坛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7.智能家居产业产品采购洽谈会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color w:val="auto"/>
          <w:sz w:val="22"/>
          <w:szCs w:val="22"/>
        </w:rPr>
      </w:pPr>
      <w:r>
        <w:rPr>
          <w:rFonts w:hint="eastAsia" w:ascii="黑体" w:hAnsi="黑体" w:eastAsia="黑体" w:cs="黑体"/>
          <w:color w:val="auto"/>
          <w:kern w:val="0"/>
          <w:sz w:val="22"/>
          <w:szCs w:val="22"/>
          <w:lang w:val="en-US" w:eastAsia="zh-CN" w:bidi="ar"/>
        </w:rPr>
        <w:t xml:space="preserve">8.智能家居产业招商推介会 </w:t>
      </w:r>
    </w:p>
    <w:p>
      <w:pPr>
        <w:keepNext w:val="0"/>
        <w:keepLines w:val="0"/>
        <w:pageBreakBefore w:val="0"/>
        <w:widowControl/>
        <w:suppressLineNumbers w:val="0"/>
        <w:kinsoku/>
        <w:wordWrap/>
        <w:overflowPunct/>
        <w:topLinePunct w:val="0"/>
        <w:autoSpaceDE/>
        <w:autoSpaceDN/>
        <w:bidi w:val="0"/>
        <w:spacing w:line="240" w:lineRule="auto"/>
        <w:jc w:val="left"/>
        <w:textAlignment w:val="auto"/>
        <w:rPr>
          <w:rFonts w:hint="eastAsia" w:ascii="黑体" w:hAnsi="黑体" w:eastAsia="黑体" w:cs="黑体"/>
          <w:b/>
          <w:bCs/>
          <w:color w:val="auto"/>
          <w:sz w:val="22"/>
          <w:szCs w:val="24"/>
          <w:lang w:val="zh-CN" w:eastAsia="zh-CN"/>
        </w:rPr>
      </w:pPr>
      <w:r>
        <w:rPr>
          <w:rFonts w:hint="eastAsia" w:ascii="黑体" w:hAnsi="黑体" w:eastAsia="黑体" w:cs="黑体"/>
          <w:color w:val="auto"/>
          <w:kern w:val="0"/>
          <w:sz w:val="22"/>
          <w:szCs w:val="22"/>
          <w:lang w:val="en-US" w:eastAsia="zh-CN" w:bidi="ar"/>
        </w:rPr>
        <w:t>9.“智能家居产业最具影响力品牌”、“智能家居产业最具竞争力品牌”、“智能家居金销商十强”、“年度人气产品金、银、铜奖”、“最佳组织奖”评选活动</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【收费标准】</w:t>
      </w:r>
    </w:p>
    <w:tbl>
      <w:tblPr>
        <w:tblStyle w:val="6"/>
        <w:tblW w:w="8380"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1528"/>
        <w:gridCol w:w="1814"/>
        <w:gridCol w:w="5038"/>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780" w:hRule="atLeast"/>
          <w:jc w:val="center"/>
        </w:trPr>
        <w:tc>
          <w:tcPr>
            <w:tcW w:w="1528"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422" w:firstLineChars="200"/>
              <w:jc w:val="both"/>
              <w:textAlignment w:val="auto"/>
              <w:rPr>
                <w:rFonts w:ascii="宋体"/>
                <w:b/>
                <w:color w:val="000000"/>
                <w:szCs w:val="21"/>
              </w:rPr>
            </w:pPr>
            <w:r>
              <w:rPr>
                <w:rFonts w:hint="eastAsia" w:ascii="宋体" w:hAnsi="宋体"/>
                <w:b/>
                <w:color w:val="000000"/>
                <w:szCs w:val="21"/>
              </w:rPr>
              <w:t>展位标准</w:t>
            </w:r>
          </w:p>
        </w:tc>
        <w:tc>
          <w:tcPr>
            <w:tcW w:w="1814"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left="-2268" w:leftChars="-1080" w:firstLine="2658" w:firstLineChars="1261"/>
              <w:jc w:val="both"/>
              <w:textAlignment w:val="auto"/>
              <w:rPr>
                <w:rFonts w:ascii="宋体"/>
                <w:b/>
                <w:color w:val="000000"/>
                <w:szCs w:val="21"/>
              </w:rPr>
            </w:pPr>
            <w:r>
              <w:rPr>
                <w:rFonts w:hint="eastAsia" w:ascii="宋体" w:hAnsi="宋体"/>
                <w:b/>
                <w:color w:val="000000"/>
                <w:szCs w:val="21"/>
              </w:rPr>
              <w:t>价格（</w:t>
            </w:r>
            <w:r>
              <w:rPr>
                <w:rFonts w:ascii="宋体" w:hAnsi="宋体"/>
                <w:b/>
                <w:color w:val="000000"/>
                <w:szCs w:val="21"/>
              </w:rPr>
              <w:t>RMB</w:t>
            </w:r>
            <w:r>
              <w:rPr>
                <w:rFonts w:hint="eastAsia" w:ascii="宋体" w:hAnsi="宋体"/>
                <w:b/>
                <w:color w:val="000000"/>
                <w:szCs w:val="21"/>
              </w:rPr>
              <w:t>）</w:t>
            </w:r>
          </w:p>
        </w:tc>
        <w:tc>
          <w:tcPr>
            <w:tcW w:w="5038"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2108" w:firstLineChars="1000"/>
              <w:jc w:val="both"/>
              <w:textAlignment w:val="auto"/>
              <w:rPr>
                <w:rFonts w:ascii="宋体"/>
                <w:b/>
                <w:color w:val="000000"/>
                <w:szCs w:val="21"/>
              </w:rPr>
            </w:pPr>
            <w:r>
              <w:rPr>
                <w:rFonts w:hint="eastAsia" w:ascii="宋体" w:hAnsi="宋体"/>
                <w:b/>
                <w:color w:val="000000"/>
                <w:szCs w:val="21"/>
              </w:rPr>
              <w:t>基本配置</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904" w:hRule="atLeast"/>
          <w:jc w:val="center"/>
        </w:trPr>
        <w:tc>
          <w:tcPr>
            <w:tcW w:w="1528" w:type="dxa"/>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color w:val="000000"/>
                <w:szCs w:val="21"/>
              </w:rPr>
            </w:pPr>
            <w:r>
              <w:rPr>
                <w:rFonts w:hint="eastAsia" w:ascii="宋体" w:hAnsi="宋体"/>
                <w:color w:val="000000"/>
                <w:szCs w:val="21"/>
              </w:rPr>
              <w:t>标准展区</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color w:val="000000"/>
                <w:szCs w:val="21"/>
              </w:rPr>
            </w:pPr>
            <w:r>
              <w:rPr>
                <w:rFonts w:hint="eastAsia" w:ascii="宋体" w:hAnsi="宋体"/>
                <w:color w:val="000000"/>
                <w:szCs w:val="21"/>
              </w:rPr>
              <w:t>（</w:t>
            </w:r>
            <w:r>
              <w:rPr>
                <w:rFonts w:ascii="宋体" w:hAnsi="宋体"/>
                <w:color w:val="000000"/>
                <w:szCs w:val="21"/>
              </w:rPr>
              <w:t>3m</w:t>
            </w:r>
            <w:r>
              <w:rPr>
                <w:rFonts w:hint="eastAsia" w:ascii="宋体" w:hAnsi="宋体"/>
                <w:color w:val="000000"/>
                <w:szCs w:val="21"/>
              </w:rPr>
              <w:t>×</w:t>
            </w:r>
            <w:r>
              <w:rPr>
                <w:rFonts w:ascii="宋体" w:hAnsi="宋体"/>
                <w:color w:val="000000"/>
                <w:szCs w:val="21"/>
              </w:rPr>
              <w:t>3m/</w:t>
            </w:r>
            <w:r>
              <w:rPr>
                <w:rFonts w:hint="eastAsia" w:ascii="宋体" w:hAnsi="宋体"/>
                <w:color w:val="000000"/>
                <w:szCs w:val="21"/>
              </w:rPr>
              <w:t>个）</w:t>
            </w:r>
          </w:p>
        </w:tc>
        <w:tc>
          <w:tcPr>
            <w:tcW w:w="1814" w:type="dxa"/>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color w:val="000000"/>
                <w:szCs w:val="21"/>
              </w:rPr>
            </w:pPr>
            <w:r>
              <w:rPr>
                <w:rFonts w:hint="eastAsia" w:ascii="宋体" w:hAnsi="宋体"/>
                <w:color w:val="000000"/>
                <w:szCs w:val="21"/>
                <w:lang w:val="en-US" w:eastAsia="zh-CN"/>
              </w:rPr>
              <w:t xml:space="preserve"> 5800</w:t>
            </w:r>
            <w:r>
              <w:rPr>
                <w:rFonts w:hint="eastAsia" w:ascii="宋体" w:hAnsi="宋体"/>
                <w:color w:val="000000"/>
                <w:szCs w:val="21"/>
              </w:rPr>
              <w:t>元</w:t>
            </w:r>
            <w:r>
              <w:rPr>
                <w:rFonts w:ascii="宋体" w:hAnsi="宋体"/>
                <w:color w:val="000000"/>
                <w:szCs w:val="21"/>
              </w:rPr>
              <w:t>/</w:t>
            </w:r>
            <w:r>
              <w:rPr>
                <w:rFonts w:hint="eastAsia" w:ascii="宋体" w:hAnsi="宋体"/>
                <w:color w:val="000000"/>
                <w:szCs w:val="21"/>
              </w:rPr>
              <w:t>个</w:t>
            </w:r>
          </w:p>
        </w:tc>
        <w:tc>
          <w:tcPr>
            <w:tcW w:w="5038" w:type="dxa"/>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ascii="宋体"/>
                <w:color w:val="000000"/>
                <w:szCs w:val="21"/>
              </w:rPr>
            </w:pPr>
            <w:r>
              <w:rPr>
                <w:rFonts w:hint="eastAsia" w:ascii="宋体" w:hAnsi="宋体"/>
                <w:sz w:val="21"/>
                <w:szCs w:val="21"/>
              </w:rPr>
              <w:t>设施配备为：</w:t>
            </w:r>
            <w:r>
              <w:rPr>
                <w:rFonts w:hint="default" w:ascii="宋体" w:hAnsi="宋体"/>
                <w:sz w:val="21"/>
                <w:szCs w:val="21"/>
              </w:rPr>
              <w:t>1</w:t>
            </w:r>
            <w:r>
              <w:rPr>
                <w:rFonts w:hint="eastAsia" w:ascii="宋体" w:hAnsi="宋体"/>
                <w:sz w:val="21"/>
                <w:szCs w:val="21"/>
              </w:rPr>
              <w:t>张咨询桌、</w:t>
            </w:r>
            <w:r>
              <w:rPr>
                <w:rFonts w:hint="default" w:ascii="宋体" w:hAnsi="宋体"/>
                <w:sz w:val="21"/>
                <w:szCs w:val="21"/>
              </w:rPr>
              <w:t>2</w:t>
            </w:r>
            <w:r>
              <w:rPr>
                <w:rFonts w:hint="eastAsia" w:ascii="宋体" w:hAnsi="宋体"/>
                <w:sz w:val="21"/>
                <w:szCs w:val="21"/>
              </w:rPr>
              <w:t>把折椅、</w:t>
            </w:r>
            <w:r>
              <w:rPr>
                <w:rFonts w:hint="default" w:ascii="宋体" w:hAnsi="宋体"/>
                <w:sz w:val="21"/>
                <w:szCs w:val="21"/>
              </w:rPr>
              <w:t>1</w:t>
            </w:r>
            <w:r>
              <w:rPr>
                <w:rFonts w:hint="eastAsia" w:ascii="宋体" w:hAnsi="宋体"/>
                <w:sz w:val="21"/>
                <w:szCs w:val="21"/>
              </w:rPr>
              <w:t>个电源插座（</w:t>
            </w:r>
            <w:r>
              <w:rPr>
                <w:rFonts w:hint="default" w:ascii="宋体" w:hAnsi="宋体"/>
                <w:sz w:val="21"/>
                <w:szCs w:val="21"/>
              </w:rPr>
              <w:t>220V/500W</w:t>
            </w:r>
            <w:r>
              <w:rPr>
                <w:rFonts w:hint="eastAsia" w:ascii="宋体" w:hAnsi="宋体"/>
                <w:sz w:val="21"/>
                <w:szCs w:val="21"/>
              </w:rPr>
              <w:t>）、企业中英文楣板和三面展板。双开口展位加收5</w:t>
            </w:r>
            <w:r>
              <w:rPr>
                <w:rFonts w:hint="default" w:ascii="宋体" w:hAnsi="宋体"/>
                <w:sz w:val="21"/>
                <w:szCs w:val="21"/>
              </w:rPr>
              <w:t>00</w:t>
            </w:r>
            <w:r>
              <w:rPr>
                <w:rFonts w:hint="eastAsia" w:ascii="宋体" w:hAnsi="宋体"/>
                <w:sz w:val="21"/>
                <w:szCs w:val="21"/>
              </w:rPr>
              <w:t>元</w:t>
            </w:r>
            <w:r>
              <w:rPr>
                <w:rFonts w:hint="default" w:ascii="宋体" w:hAnsi="宋体"/>
                <w:sz w:val="21"/>
                <w:szCs w:val="21"/>
              </w:rPr>
              <w:t>/</w:t>
            </w:r>
            <w:r>
              <w:rPr>
                <w:rFonts w:hint="eastAsia" w:ascii="宋体" w:hAnsi="宋体"/>
                <w:sz w:val="21"/>
                <w:szCs w:val="21"/>
              </w:rPr>
              <w:t>个。</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749" w:hRule="atLeast"/>
          <w:jc w:val="center"/>
        </w:trPr>
        <w:tc>
          <w:tcPr>
            <w:tcW w:w="1528" w:type="dxa"/>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color w:val="000000"/>
                <w:szCs w:val="21"/>
              </w:rPr>
            </w:pPr>
            <w:r>
              <w:rPr>
                <w:rFonts w:hint="eastAsia" w:ascii="宋体" w:hAnsi="宋体"/>
                <w:color w:val="000000"/>
                <w:szCs w:val="21"/>
              </w:rPr>
              <w:t>特装位置和光地（</w:t>
            </w:r>
            <w:r>
              <w:rPr>
                <w:rFonts w:ascii="宋体" w:hAnsi="宋体"/>
                <w:color w:val="000000"/>
                <w:szCs w:val="21"/>
              </w:rPr>
              <w:t>36m</w:t>
            </w:r>
            <w:r>
              <w:rPr>
                <w:rFonts w:hint="eastAsia" w:ascii="宋体" w:hAnsi="宋体"/>
                <w:color w:val="000000"/>
                <w:szCs w:val="21"/>
              </w:rPr>
              <w:t>²起租）</w:t>
            </w:r>
          </w:p>
        </w:tc>
        <w:tc>
          <w:tcPr>
            <w:tcW w:w="1814" w:type="dxa"/>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color w:val="000000"/>
                <w:szCs w:val="21"/>
              </w:rPr>
            </w:pPr>
            <w:r>
              <w:rPr>
                <w:rFonts w:hint="eastAsia" w:ascii="宋体" w:hAnsi="宋体"/>
                <w:color w:val="000000"/>
                <w:szCs w:val="21"/>
                <w:lang w:val="en-US" w:eastAsia="zh-CN"/>
              </w:rPr>
              <w:t xml:space="preserve"> 600</w:t>
            </w:r>
            <w:r>
              <w:rPr>
                <w:rFonts w:hint="eastAsia" w:ascii="宋体" w:hAnsi="宋体"/>
                <w:color w:val="000000"/>
                <w:szCs w:val="21"/>
              </w:rPr>
              <w:t>元</w:t>
            </w:r>
            <w:r>
              <w:rPr>
                <w:rFonts w:ascii="宋体" w:hAnsi="宋体"/>
                <w:color w:val="000000"/>
                <w:szCs w:val="21"/>
              </w:rPr>
              <w:t>/</w:t>
            </w:r>
            <w:r>
              <w:rPr>
                <w:rFonts w:hint="eastAsia" w:ascii="宋体" w:hAnsi="宋体"/>
                <w:color w:val="000000"/>
                <w:szCs w:val="21"/>
              </w:rPr>
              <w:t>㎡</w:t>
            </w:r>
          </w:p>
        </w:tc>
        <w:tc>
          <w:tcPr>
            <w:tcW w:w="5038" w:type="dxa"/>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ascii="宋体" w:hAnsi="宋体"/>
                <w:color w:val="000000"/>
                <w:szCs w:val="21"/>
              </w:rPr>
            </w:pPr>
            <w:r>
              <w:rPr>
                <w:rFonts w:hint="default" w:ascii="宋体" w:hAnsi="宋体"/>
                <w:sz w:val="21"/>
                <w:szCs w:val="21"/>
              </w:rPr>
              <w:t>36</w:t>
            </w:r>
            <w:r>
              <w:rPr>
                <w:rFonts w:hint="eastAsia" w:ascii="宋体" w:hAnsi="宋体"/>
                <w:sz w:val="21"/>
                <w:szCs w:val="21"/>
              </w:rPr>
              <w:t>㎡起租，不带任何设施，由参展商自备或委托设计、装修。施工管理费、电费由参展商自付。</w:t>
            </w:r>
          </w:p>
        </w:tc>
      </w:tr>
    </w:tbl>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宋体" w:hAnsi="宋体" w:cs="宋体"/>
          <w:sz w:val="24"/>
          <w:szCs w:val="22"/>
          <w:lang w:val="zh-CN"/>
        </w:rPr>
      </w:pPr>
      <w:r>
        <w:rPr>
          <w:rFonts w:hint="eastAsia" w:ascii="黑体" w:hAnsi="黑体" w:eastAsia="黑体" w:cs="黑体"/>
          <w:b/>
          <w:bCs/>
          <w:color w:val="auto"/>
          <w:sz w:val="22"/>
          <w:szCs w:val="24"/>
          <w:lang w:val="zh-CN" w:eastAsia="zh-CN"/>
        </w:rPr>
        <w:t>注明：</w:t>
      </w:r>
      <w:r>
        <w:rPr>
          <w:rFonts w:hint="eastAsia" w:ascii="黑体" w:hAnsi="黑体" w:eastAsia="黑体" w:cs="黑体"/>
          <w:b w:val="0"/>
          <w:bCs w:val="0"/>
          <w:color w:val="auto"/>
          <w:sz w:val="22"/>
          <w:szCs w:val="24"/>
          <w:lang w:val="zh-CN" w:eastAsia="zh-CN"/>
        </w:rPr>
        <w:t>本届展会提供多种赞助方案,给经营者和供应商提供了更多参与的机会,由此可以最大限度的行有效宣传；如有意企业选赞助，请向组委会索取参与细则。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bCs/>
          <w:color w:val="FF0000"/>
          <w:sz w:val="22"/>
          <w:szCs w:val="24"/>
          <w:lang w:val="zh-CN" w:eastAsia="zh-CN"/>
        </w:rPr>
        <w:t>【大会会刊】</w:t>
      </w:r>
      <w:r>
        <w:rPr>
          <w:rFonts w:hint="eastAsia" w:ascii="黑体" w:hAnsi="黑体" w:eastAsia="黑体" w:cs="黑体"/>
          <w:b w:val="0"/>
          <w:bCs w:val="0"/>
          <w:color w:val="auto"/>
          <w:sz w:val="22"/>
          <w:szCs w:val="24"/>
          <w:lang w:val="zh-CN" w:eastAsia="zh-CN"/>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0" w:lineRule="atLeast"/>
        <w:ind w:right="0" w:firstLine="440" w:firstLineChars="20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zh-CN" w:eastAsia="zh-CN"/>
        </w:rPr>
        <w:t>为了配合在展览期间宣传及让客户了解并在会后能与之沟通联系，组委会将精心编印会刊，规格：</w:t>
      </w:r>
      <w:r>
        <w:rPr>
          <w:rFonts w:hint="eastAsia" w:ascii="黑体" w:hAnsi="黑体" w:eastAsia="黑体" w:cs="黑体"/>
          <w:b w:val="0"/>
          <w:bCs w:val="0"/>
          <w:color w:val="auto"/>
          <w:sz w:val="22"/>
          <w:szCs w:val="24"/>
          <w:lang w:val="en-US" w:eastAsia="zh-CN"/>
        </w:rPr>
        <w:t xml:space="preserve">  </w:t>
      </w:r>
      <w:r>
        <w:rPr>
          <w:rFonts w:hint="eastAsia" w:ascii="黑体" w:hAnsi="黑体" w:eastAsia="黑体" w:cs="黑体"/>
          <w:b w:val="0"/>
          <w:bCs w:val="0"/>
          <w:color w:val="auto"/>
          <w:sz w:val="22"/>
          <w:szCs w:val="24"/>
          <w:lang w:val="zh-CN" w:eastAsia="zh-CN"/>
        </w:rPr>
        <w:t>mm×</w:t>
      </w:r>
      <w:r>
        <w:rPr>
          <w:rFonts w:hint="eastAsia" w:ascii="黑体" w:hAnsi="黑体" w:eastAsia="黑体" w:cs="黑体"/>
          <w:b w:val="0"/>
          <w:bCs w:val="0"/>
          <w:color w:val="auto"/>
          <w:sz w:val="22"/>
          <w:szCs w:val="24"/>
          <w:lang w:val="en-US" w:eastAsia="zh-CN"/>
        </w:rPr>
        <w:t xml:space="preserve">   </w:t>
      </w:r>
      <w:r>
        <w:rPr>
          <w:rFonts w:hint="eastAsia" w:ascii="黑体" w:hAnsi="黑体" w:eastAsia="黑体" w:cs="黑体"/>
          <w:b w:val="0"/>
          <w:bCs w:val="0"/>
          <w:color w:val="auto"/>
          <w:sz w:val="22"/>
          <w:szCs w:val="24"/>
          <w:lang w:val="zh-CN" w:eastAsia="zh-CN"/>
        </w:rPr>
        <w:t>mm.注：广告费用须全额一次付清，以付款先后顺序进行安排。</w:t>
      </w:r>
    </w:p>
    <w:tbl>
      <w:tblPr>
        <w:tblStyle w:val="6"/>
        <w:tblW w:w="8320"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1290"/>
        <w:gridCol w:w="1023"/>
        <w:gridCol w:w="320"/>
        <w:gridCol w:w="1071"/>
        <w:gridCol w:w="246"/>
        <w:gridCol w:w="1158"/>
        <w:gridCol w:w="267"/>
        <w:gridCol w:w="1452"/>
        <w:gridCol w:w="1493"/>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trHeight w:val="621" w:hRule="atLeast"/>
          <w:jc w:val="center"/>
        </w:trPr>
        <w:tc>
          <w:tcPr>
            <w:tcW w:w="1290"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r>
              <w:rPr>
                <w:rFonts w:hint="eastAsia" w:ascii="宋体" w:hAnsi="宋体"/>
                <w:szCs w:val="21"/>
                <w:lang w:val="zh-CN"/>
              </w:rPr>
              <w:t>封面</w:t>
            </w:r>
          </w:p>
        </w:tc>
        <w:tc>
          <w:tcPr>
            <w:tcW w:w="1343"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lang w:val="zh-CN" w:eastAsia="zh-CN"/>
              </w:rPr>
            </w:pPr>
            <w:r>
              <w:rPr>
                <w:rFonts w:hint="eastAsia" w:ascii="宋体" w:hAnsi="宋体"/>
                <w:szCs w:val="21"/>
                <w:lang w:val="zh-CN" w:eastAsia="zh-CN"/>
              </w:rPr>
              <w:t>封底</w:t>
            </w:r>
          </w:p>
        </w:tc>
        <w:tc>
          <w:tcPr>
            <w:tcW w:w="1317"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lang w:val="zh-CN"/>
              </w:rPr>
            </w:pPr>
            <w:r>
              <w:rPr>
                <w:rFonts w:hint="eastAsia" w:ascii="宋体" w:hAnsi="宋体"/>
                <w:szCs w:val="21"/>
                <w:lang w:val="zh-CN"/>
              </w:rPr>
              <w:t>封二/前菲</w:t>
            </w:r>
          </w:p>
        </w:tc>
        <w:tc>
          <w:tcPr>
            <w:tcW w:w="1425"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lang w:val="zh-CN"/>
              </w:rPr>
            </w:pPr>
            <w:r>
              <w:rPr>
                <w:rFonts w:hint="eastAsia" w:ascii="宋体" w:hAnsi="宋体"/>
                <w:szCs w:val="21"/>
                <w:lang w:val="zh-CN"/>
              </w:rPr>
              <w:t>封三/后菲</w:t>
            </w:r>
          </w:p>
        </w:tc>
        <w:tc>
          <w:tcPr>
            <w:tcW w:w="1452"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lang w:val="zh-CN"/>
              </w:rPr>
            </w:pPr>
            <w:r>
              <w:rPr>
                <w:rFonts w:hint="eastAsia" w:ascii="宋体" w:hAnsi="宋体"/>
                <w:szCs w:val="21"/>
                <w:lang w:val="zh-CN"/>
              </w:rPr>
              <w:t>内彩页</w:t>
            </w:r>
          </w:p>
        </w:tc>
        <w:tc>
          <w:tcPr>
            <w:tcW w:w="1493"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lang w:val="zh-CN"/>
              </w:rPr>
            </w:pPr>
            <w:r>
              <w:rPr>
                <w:rFonts w:hint="eastAsia" w:ascii="宋体" w:hAnsi="宋体"/>
                <w:szCs w:val="21"/>
                <w:lang w:val="zh-CN"/>
              </w:rPr>
              <w:t>跨彩页</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626" w:hRule="atLeast"/>
          <w:jc w:val="center"/>
        </w:trPr>
        <w:tc>
          <w:tcPr>
            <w:tcW w:w="1290"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eastAsiaTheme="minorEastAsia"/>
                <w:color w:val="000000"/>
                <w:szCs w:val="21"/>
                <w:lang w:val="en-US" w:eastAsia="zh-CN"/>
              </w:rPr>
            </w:pPr>
            <w:r>
              <w:rPr>
                <w:rFonts w:hint="eastAsia" w:ascii="宋体"/>
                <w:color w:val="000000"/>
                <w:szCs w:val="21"/>
                <w:lang w:val="en-US" w:eastAsia="zh-CN"/>
              </w:rPr>
              <w:t>20000</w:t>
            </w:r>
          </w:p>
        </w:tc>
        <w:tc>
          <w:tcPr>
            <w:tcW w:w="1343"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szCs w:val="21"/>
                <w:lang w:val="en-US" w:eastAsia="zh-CN"/>
              </w:rPr>
              <w:t>16000</w:t>
            </w:r>
          </w:p>
        </w:tc>
        <w:tc>
          <w:tcPr>
            <w:tcW w:w="1317"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szCs w:val="21"/>
                <w:lang w:val="en-US" w:eastAsia="zh-CN"/>
              </w:rPr>
              <w:t>10000</w:t>
            </w:r>
          </w:p>
        </w:tc>
        <w:tc>
          <w:tcPr>
            <w:tcW w:w="1425"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szCs w:val="21"/>
                <w:lang w:val="en-US" w:eastAsia="zh-CN"/>
              </w:rPr>
              <w:t>8000</w:t>
            </w:r>
          </w:p>
        </w:tc>
        <w:tc>
          <w:tcPr>
            <w:tcW w:w="1452"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szCs w:val="21"/>
                <w:lang w:val="en-US" w:eastAsia="zh-CN"/>
              </w:rPr>
              <w:t>5000</w:t>
            </w:r>
          </w:p>
        </w:tc>
        <w:tc>
          <w:tcPr>
            <w:tcW w:w="1493"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szCs w:val="21"/>
                <w:lang w:val="en-US" w:eastAsia="zh-CN"/>
              </w:rPr>
              <w:t>6000</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853" w:hRule="atLeast"/>
          <w:jc w:val="center"/>
        </w:trPr>
        <w:tc>
          <w:tcPr>
            <w:tcW w:w="2313"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lang w:val="zh-CN"/>
              </w:rPr>
            </w:pPr>
            <w:r>
              <w:rPr>
                <w:rFonts w:hint="eastAsia" w:ascii="宋体" w:hAnsi="宋体"/>
                <w:szCs w:val="21"/>
                <w:lang w:val="zh-CN"/>
              </w:rPr>
              <w:t>参观卷：10000/3万张</w:t>
            </w:r>
          </w:p>
        </w:tc>
        <w:tc>
          <w:tcPr>
            <w:tcW w:w="1391"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both"/>
              <w:textAlignment w:val="auto"/>
              <w:rPr>
                <w:rFonts w:hint="eastAsia" w:ascii="宋体" w:hAnsi="宋体"/>
                <w:szCs w:val="21"/>
                <w:lang w:val="zh-CN"/>
              </w:rPr>
            </w:pPr>
            <w:r>
              <w:rPr>
                <w:rFonts w:hint="eastAsia" w:ascii="宋体" w:hAnsi="宋体"/>
                <w:szCs w:val="21"/>
                <w:lang w:val="zh-CN"/>
              </w:rPr>
              <w:t>胸卡：60000</w:t>
            </w:r>
          </w:p>
        </w:tc>
        <w:tc>
          <w:tcPr>
            <w:tcW w:w="1404"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both"/>
              <w:textAlignment w:val="auto"/>
              <w:rPr>
                <w:rFonts w:hint="eastAsia" w:ascii="宋体" w:hAnsi="宋体"/>
                <w:szCs w:val="21"/>
                <w:lang w:val="zh-CN"/>
              </w:rPr>
            </w:pPr>
            <w:r>
              <w:rPr>
                <w:rFonts w:hint="eastAsia" w:ascii="宋体" w:hAnsi="宋体"/>
                <w:szCs w:val="21"/>
                <w:lang w:val="zh-CN"/>
              </w:rPr>
              <w:t>吊带：60000</w:t>
            </w:r>
          </w:p>
        </w:tc>
        <w:tc>
          <w:tcPr>
            <w:tcW w:w="1719" w:type="dxa"/>
            <w:gridSpan w:val="2"/>
            <w:noWrap w:val="0"/>
            <w:vAlign w:val="center"/>
          </w:tcPr>
          <w:p>
            <w:pPr>
              <w:keepNext w:val="0"/>
              <w:keepLines w:val="0"/>
              <w:pageBreakBefore w:val="0"/>
              <w:kinsoku/>
              <w:wordWrap/>
              <w:overflowPunct/>
              <w:topLinePunct w:val="0"/>
              <w:autoSpaceDE/>
              <w:autoSpaceDN/>
              <w:bidi w:val="0"/>
              <w:adjustRightInd w:val="0"/>
              <w:snapToGrid w:val="0"/>
              <w:spacing w:line="20" w:lineRule="atLeast"/>
              <w:jc w:val="both"/>
              <w:textAlignment w:val="auto"/>
              <w:rPr>
                <w:rFonts w:hint="eastAsia" w:ascii="宋体" w:hAnsi="宋体"/>
                <w:szCs w:val="21"/>
                <w:lang w:val="zh-CN"/>
              </w:rPr>
            </w:pPr>
            <w:r>
              <w:rPr>
                <w:rFonts w:hint="eastAsia" w:ascii="宋体" w:hAnsi="宋体"/>
                <w:szCs w:val="21"/>
                <w:lang w:val="zh-CN"/>
              </w:rPr>
              <w:t>手提袋：60000</w:t>
            </w:r>
          </w:p>
        </w:tc>
        <w:tc>
          <w:tcPr>
            <w:tcW w:w="1493"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lang w:val="zh-CN"/>
              </w:rPr>
            </w:pPr>
            <w:r>
              <w:rPr>
                <w:rFonts w:hint="eastAsia" w:ascii="宋体" w:hAnsi="宋体"/>
                <w:szCs w:val="21"/>
                <w:lang w:val="zh-CN"/>
              </w:rPr>
              <w:t>其它广告备索</w:t>
            </w:r>
          </w:p>
        </w:tc>
      </w:tr>
    </w:tbl>
    <w:p>
      <w:pPr>
        <w:keepNext w:val="0"/>
        <w:keepLines w:val="0"/>
        <w:pageBreakBefore w:val="0"/>
        <w:widowControl w:val="0"/>
        <w:kinsoku/>
        <w:wordWrap/>
        <w:overflowPunct/>
        <w:topLinePunct w:val="0"/>
        <w:autoSpaceDE/>
        <w:autoSpaceDN/>
        <w:bidi w:val="0"/>
        <w:adjustRightInd/>
        <w:snapToGrid/>
        <w:spacing w:line="20" w:lineRule="atLeast"/>
        <w:ind w:left="0" w:leftChars="0" w:right="0" w:rightChars="0" w:firstLine="0" w:firstLineChars="0"/>
        <w:jc w:val="both"/>
        <w:textAlignment w:val="auto"/>
        <w:outlineLvl w:val="9"/>
        <w:rPr>
          <w:rFonts w:hint="eastAsia" w:ascii="宋体" w:hAnsi="宋体" w:cs="宋体"/>
          <w:sz w:val="24"/>
          <w:szCs w:val="22"/>
          <w:lang w:val="zh-CN"/>
        </w:rPr>
      </w:pPr>
    </w:p>
    <w:p>
      <w:pPr>
        <w:keepNext w:val="0"/>
        <w:keepLines w:val="0"/>
        <w:pageBreakBefore w:val="0"/>
        <w:widowControl w:val="0"/>
        <w:kinsoku/>
        <w:wordWrap/>
        <w:overflowPunct/>
        <w:topLinePunct w:val="0"/>
        <w:autoSpaceDE/>
        <w:autoSpaceDN/>
        <w:bidi w:val="0"/>
        <w:adjustRightInd/>
        <w:snapToGrid/>
        <w:spacing w:line="20" w:lineRule="atLeast"/>
        <w:ind w:left="0" w:leftChars="0" w:right="0" w:rightChars="0" w:firstLine="0" w:firstLineChars="0"/>
        <w:jc w:val="both"/>
        <w:textAlignment w:val="auto"/>
        <w:outlineLvl w:val="9"/>
        <w:rPr>
          <w:rFonts w:hint="eastAsia" w:ascii="黑体" w:hAnsi="黑体" w:eastAsia="黑体" w:cs="黑体"/>
          <w:b/>
          <w:bCs/>
          <w:color w:val="FF0000"/>
          <w:sz w:val="22"/>
          <w:szCs w:val="22"/>
          <w:lang w:val="zh-CN"/>
        </w:rPr>
      </w:pPr>
      <w:r>
        <w:rPr>
          <w:rFonts w:hint="eastAsia" w:ascii="黑体" w:hAnsi="黑体" w:eastAsia="黑体" w:cs="黑体"/>
          <w:b/>
          <w:bCs/>
          <w:color w:val="FF0000"/>
          <w:sz w:val="22"/>
          <w:szCs w:val="22"/>
          <w:lang w:val="zh-CN"/>
        </w:rPr>
        <w:t>【会议</w:t>
      </w:r>
      <w:r>
        <w:rPr>
          <w:rFonts w:hint="eastAsia" w:ascii="黑体" w:hAnsi="黑体" w:eastAsia="黑体" w:cs="黑体"/>
          <w:b/>
          <w:bCs/>
          <w:color w:val="FF0000"/>
          <w:sz w:val="22"/>
          <w:szCs w:val="22"/>
        </w:rPr>
        <w:t>论坛</w:t>
      </w:r>
      <w:r>
        <w:rPr>
          <w:rFonts w:hint="eastAsia" w:ascii="黑体" w:hAnsi="黑体" w:eastAsia="黑体" w:cs="黑体"/>
          <w:b/>
          <w:bCs/>
          <w:color w:val="FF0000"/>
          <w:sz w:val="22"/>
          <w:szCs w:val="22"/>
          <w:lang w:val="zh-CN"/>
        </w:rPr>
        <w:t>】</w:t>
      </w:r>
    </w:p>
    <w:tbl>
      <w:tblPr>
        <w:tblStyle w:val="6"/>
        <w:tblW w:w="8240"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1058"/>
        <w:gridCol w:w="1275"/>
        <w:gridCol w:w="1460"/>
        <w:gridCol w:w="1512"/>
        <w:gridCol w:w="1427"/>
        <w:gridCol w:w="1508"/>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712" w:hRule="atLeast"/>
          <w:jc w:val="center"/>
        </w:trPr>
        <w:tc>
          <w:tcPr>
            <w:tcW w:w="1058"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ind w:firstLine="210" w:firstLineChars="100"/>
              <w:jc w:val="both"/>
              <w:textAlignment w:val="auto"/>
              <w:rPr>
                <w:rFonts w:ascii="宋体"/>
                <w:b/>
                <w:color w:val="000000"/>
                <w:szCs w:val="21"/>
              </w:rPr>
            </w:pPr>
            <w:r>
              <w:rPr>
                <w:rFonts w:hint="eastAsia" w:ascii="宋体" w:hAnsi="宋体"/>
                <w:szCs w:val="21"/>
              </w:rPr>
              <w:t>类型</w:t>
            </w:r>
          </w:p>
        </w:tc>
        <w:tc>
          <w:tcPr>
            <w:tcW w:w="1275"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eastAsia="宋体"/>
                <w:b/>
                <w:color w:val="000000"/>
                <w:szCs w:val="21"/>
                <w:lang w:eastAsia="zh-CN"/>
              </w:rPr>
            </w:pPr>
            <w:r>
              <w:rPr>
                <w:rFonts w:hint="eastAsia" w:ascii="宋体" w:hAnsi="宋体"/>
                <w:szCs w:val="21"/>
              </w:rPr>
              <w:t>企业专场</w:t>
            </w:r>
          </w:p>
        </w:tc>
        <w:tc>
          <w:tcPr>
            <w:tcW w:w="1460"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ascii="宋体"/>
                <w:b/>
                <w:color w:val="000000"/>
                <w:szCs w:val="21"/>
              </w:rPr>
            </w:pPr>
            <w:r>
              <w:rPr>
                <w:rFonts w:hint="eastAsia" w:ascii="宋体" w:hAnsi="宋体"/>
                <w:szCs w:val="21"/>
              </w:rPr>
              <w:t>品牌专场</w:t>
            </w:r>
          </w:p>
        </w:tc>
        <w:tc>
          <w:tcPr>
            <w:tcW w:w="1512"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b/>
                <w:color w:val="000000"/>
                <w:szCs w:val="21"/>
              </w:rPr>
            </w:pPr>
            <w:r>
              <w:rPr>
                <w:rFonts w:hint="eastAsia" w:ascii="宋体" w:hAnsi="宋体"/>
                <w:szCs w:val="21"/>
              </w:rPr>
              <w:t>技术交流会</w:t>
            </w:r>
          </w:p>
        </w:tc>
        <w:tc>
          <w:tcPr>
            <w:tcW w:w="1427"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cs="宋体"/>
                <w:sz w:val="24"/>
                <w:szCs w:val="22"/>
                <w:lang w:val="zh-CN"/>
              </w:rPr>
            </w:pPr>
            <w:r>
              <w:rPr>
                <w:rFonts w:hint="eastAsia" w:ascii="宋体" w:hAnsi="宋体"/>
                <w:szCs w:val="21"/>
              </w:rPr>
              <w:t>招商发布会</w:t>
            </w:r>
          </w:p>
        </w:tc>
        <w:tc>
          <w:tcPr>
            <w:tcW w:w="1508" w:type="dxa"/>
            <w:noWrap w:val="0"/>
            <w:vAlign w:val="center"/>
          </w:tcPr>
          <w:p>
            <w:pPr>
              <w:keepNext w:val="0"/>
              <w:keepLines w:val="0"/>
              <w:pageBreakBefore w:val="0"/>
              <w:tabs>
                <w:tab w:val="left" w:pos="436"/>
              </w:tabs>
              <w:kinsoku/>
              <w:wordWrap/>
              <w:overflowPunct/>
              <w:topLinePunct w:val="0"/>
              <w:autoSpaceDE/>
              <w:autoSpaceDN/>
              <w:bidi w:val="0"/>
              <w:adjustRightInd w:val="0"/>
              <w:snapToGrid w:val="0"/>
              <w:spacing w:line="20" w:lineRule="atLeast"/>
              <w:jc w:val="left"/>
              <w:textAlignment w:val="auto"/>
              <w:rPr>
                <w:rFonts w:hint="eastAsia" w:ascii="宋体" w:hAnsi="宋体" w:cs="宋体"/>
                <w:sz w:val="24"/>
                <w:szCs w:val="22"/>
                <w:lang w:val="zh-CN"/>
              </w:rPr>
            </w:pPr>
            <w:r>
              <w:rPr>
                <w:rFonts w:hint="eastAsia" w:ascii="宋体" w:hAnsi="宋体"/>
                <w:szCs w:val="21"/>
              </w:rPr>
              <w:t>产品推介会</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484" w:hRule="atLeast"/>
          <w:jc w:val="center"/>
        </w:trPr>
        <w:tc>
          <w:tcPr>
            <w:tcW w:w="1058"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r>
              <w:rPr>
                <w:rFonts w:hint="eastAsia" w:ascii="宋体" w:hAnsi="宋体"/>
                <w:szCs w:val="21"/>
              </w:rPr>
              <w:t>时间</w:t>
            </w:r>
          </w:p>
        </w:tc>
        <w:tc>
          <w:tcPr>
            <w:tcW w:w="1275"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eastAsiaTheme="minorEastAsia"/>
                <w:szCs w:val="21"/>
                <w:lang w:val="en-US" w:eastAsia="zh-CN"/>
              </w:rPr>
            </w:pPr>
            <w:r>
              <w:rPr>
                <w:rFonts w:hint="eastAsia" w:ascii="宋体" w:hAnsi="宋体"/>
                <w:szCs w:val="21"/>
                <w:lang w:val="en-US" w:eastAsia="zh-CN"/>
              </w:rPr>
              <w:t>80</w:t>
            </w:r>
            <w:r>
              <w:rPr>
                <w:rFonts w:hint="eastAsia" w:ascii="宋体" w:hAnsi="宋体"/>
                <w:szCs w:val="21"/>
                <w:lang w:eastAsia="zh-CN"/>
              </w:rPr>
              <w:t>分钟</w:t>
            </w:r>
          </w:p>
        </w:tc>
        <w:tc>
          <w:tcPr>
            <w:tcW w:w="1460"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r>
              <w:rPr>
                <w:rFonts w:hint="eastAsia" w:ascii="宋体" w:hAnsi="宋体"/>
                <w:szCs w:val="21"/>
                <w:lang w:val="en-US" w:eastAsia="zh-CN"/>
              </w:rPr>
              <w:t>60</w:t>
            </w:r>
            <w:r>
              <w:rPr>
                <w:rFonts w:hint="eastAsia" w:ascii="宋体" w:hAnsi="宋体"/>
                <w:szCs w:val="21"/>
                <w:lang w:eastAsia="zh-CN"/>
              </w:rPr>
              <w:t>分钟</w:t>
            </w:r>
          </w:p>
        </w:tc>
        <w:tc>
          <w:tcPr>
            <w:tcW w:w="1512"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r>
              <w:rPr>
                <w:rFonts w:hint="eastAsia" w:ascii="宋体" w:hAnsi="宋体"/>
                <w:szCs w:val="21"/>
                <w:lang w:val="en-US" w:eastAsia="zh-CN"/>
              </w:rPr>
              <w:t>30</w:t>
            </w:r>
            <w:r>
              <w:rPr>
                <w:rFonts w:hint="eastAsia" w:ascii="宋体" w:hAnsi="宋体"/>
                <w:szCs w:val="21"/>
                <w:lang w:eastAsia="zh-CN"/>
              </w:rPr>
              <w:t>分钟</w:t>
            </w:r>
          </w:p>
        </w:tc>
        <w:tc>
          <w:tcPr>
            <w:tcW w:w="1427"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r>
              <w:rPr>
                <w:rFonts w:hint="eastAsia" w:ascii="宋体" w:hAnsi="宋体"/>
                <w:szCs w:val="21"/>
                <w:lang w:val="en-US" w:eastAsia="zh-CN"/>
              </w:rPr>
              <w:t>60</w:t>
            </w:r>
            <w:r>
              <w:rPr>
                <w:rFonts w:hint="eastAsia" w:ascii="宋体" w:hAnsi="宋体"/>
                <w:szCs w:val="21"/>
                <w:lang w:eastAsia="zh-CN"/>
              </w:rPr>
              <w:t>分钟</w:t>
            </w:r>
          </w:p>
        </w:tc>
        <w:tc>
          <w:tcPr>
            <w:tcW w:w="1508"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r>
              <w:rPr>
                <w:rFonts w:hint="eastAsia" w:ascii="宋体" w:hAnsi="宋体"/>
                <w:szCs w:val="21"/>
                <w:lang w:val="en-US" w:eastAsia="zh-CN"/>
              </w:rPr>
              <w:t>30</w:t>
            </w:r>
            <w:r>
              <w:rPr>
                <w:rFonts w:hint="eastAsia" w:ascii="宋体" w:hAnsi="宋体"/>
                <w:szCs w:val="21"/>
                <w:lang w:eastAsia="zh-CN"/>
              </w:rPr>
              <w:t>分钟</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523" w:hRule="atLeast"/>
          <w:jc w:val="center"/>
        </w:trPr>
        <w:tc>
          <w:tcPr>
            <w:tcW w:w="1058"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r>
              <w:rPr>
                <w:rFonts w:hint="eastAsia" w:ascii="宋体" w:hAnsi="宋体"/>
                <w:szCs w:val="21"/>
              </w:rPr>
              <w:t>费用</w:t>
            </w:r>
          </w:p>
        </w:tc>
        <w:tc>
          <w:tcPr>
            <w:tcW w:w="1275"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color w:val="000000"/>
                <w:szCs w:val="21"/>
              </w:rPr>
              <w:t>￥</w:t>
            </w:r>
            <w:r>
              <w:rPr>
                <w:rFonts w:hint="eastAsia" w:ascii="宋体" w:hAnsi="宋体"/>
                <w:color w:val="000000"/>
                <w:szCs w:val="21"/>
                <w:lang w:val="en-US" w:eastAsia="zh-CN"/>
              </w:rPr>
              <w:t>16000</w:t>
            </w:r>
          </w:p>
        </w:tc>
        <w:tc>
          <w:tcPr>
            <w:tcW w:w="1460"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color w:val="000000"/>
                <w:szCs w:val="21"/>
              </w:rPr>
              <w:t>￥</w:t>
            </w:r>
            <w:r>
              <w:rPr>
                <w:rFonts w:hint="eastAsia" w:ascii="宋体" w:hAnsi="宋体"/>
                <w:color w:val="000000"/>
                <w:szCs w:val="21"/>
                <w:lang w:val="en-US" w:eastAsia="zh-CN"/>
              </w:rPr>
              <w:t>12000</w:t>
            </w:r>
          </w:p>
        </w:tc>
        <w:tc>
          <w:tcPr>
            <w:tcW w:w="1512"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color w:val="000000"/>
                <w:szCs w:val="21"/>
              </w:rPr>
              <w:t>￥</w:t>
            </w:r>
            <w:r>
              <w:rPr>
                <w:rFonts w:hint="eastAsia" w:ascii="宋体" w:hAnsi="宋体"/>
                <w:color w:val="000000"/>
                <w:szCs w:val="21"/>
                <w:lang w:val="en-US" w:eastAsia="zh-CN"/>
              </w:rPr>
              <w:t>18000</w:t>
            </w:r>
          </w:p>
        </w:tc>
        <w:tc>
          <w:tcPr>
            <w:tcW w:w="1427"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color w:val="000000"/>
                <w:szCs w:val="21"/>
              </w:rPr>
              <w:t>￥</w:t>
            </w:r>
            <w:r>
              <w:rPr>
                <w:rFonts w:hint="eastAsia" w:ascii="宋体" w:hAnsi="宋体"/>
                <w:color w:val="000000"/>
                <w:szCs w:val="21"/>
                <w:lang w:val="en-US" w:eastAsia="zh-CN"/>
              </w:rPr>
              <w:t>12000</w:t>
            </w:r>
          </w:p>
        </w:tc>
        <w:tc>
          <w:tcPr>
            <w:tcW w:w="1508" w:type="dxa"/>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default" w:ascii="宋体" w:hAnsi="宋体" w:eastAsiaTheme="minorEastAsia"/>
                <w:szCs w:val="21"/>
                <w:lang w:val="en-US" w:eastAsia="zh-CN"/>
              </w:rPr>
            </w:pPr>
            <w:r>
              <w:rPr>
                <w:rFonts w:hint="eastAsia" w:ascii="宋体" w:hAnsi="宋体"/>
                <w:color w:val="000000"/>
                <w:szCs w:val="21"/>
              </w:rPr>
              <w:t>￥</w:t>
            </w:r>
            <w:r>
              <w:rPr>
                <w:rFonts w:hint="eastAsia" w:ascii="宋体" w:hAnsi="宋体"/>
                <w:color w:val="000000"/>
                <w:szCs w:val="21"/>
                <w:lang w:val="en-US" w:eastAsia="zh-CN"/>
              </w:rPr>
              <w:t>8000</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683" w:hRule="atLeast"/>
          <w:jc w:val="center"/>
        </w:trPr>
        <w:tc>
          <w:tcPr>
            <w:tcW w:w="1058" w:type="dxa"/>
            <w:vMerge w:val="restart"/>
            <w:noWrap w:val="0"/>
            <w:vAlign w:val="center"/>
          </w:tcPr>
          <w:p>
            <w:pPr>
              <w:keepNext w:val="0"/>
              <w:keepLines w:val="0"/>
              <w:pageBreakBefore w:val="0"/>
              <w:kinsoku/>
              <w:wordWrap/>
              <w:overflowPunct/>
              <w:topLinePunct w:val="0"/>
              <w:autoSpaceDE/>
              <w:autoSpaceDN/>
              <w:bidi w:val="0"/>
              <w:spacing w:line="20" w:lineRule="atLeast"/>
              <w:ind w:firstLine="210" w:firstLineChars="100"/>
              <w:textAlignment w:val="auto"/>
              <w:rPr>
                <w:rFonts w:hint="eastAsia" w:ascii="宋体" w:hAnsi="宋体"/>
                <w:color w:val="000000"/>
                <w:szCs w:val="21"/>
              </w:rPr>
            </w:pPr>
            <w:r>
              <w:rPr>
                <w:rFonts w:hint="eastAsia" w:ascii="宋体" w:hAnsi="宋体"/>
                <w:color w:val="000000"/>
                <w:szCs w:val="21"/>
              </w:rPr>
              <w:t>会议室</w:t>
            </w:r>
          </w:p>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ascii="宋体"/>
                <w:color w:val="000000"/>
                <w:szCs w:val="21"/>
              </w:rPr>
            </w:pPr>
            <w:r>
              <w:rPr>
                <w:rFonts w:hint="eastAsia" w:ascii="宋体" w:hAnsi="宋体"/>
                <w:color w:val="000000"/>
                <w:szCs w:val="21"/>
              </w:rPr>
              <w:t>配置</w:t>
            </w:r>
          </w:p>
        </w:tc>
        <w:tc>
          <w:tcPr>
            <w:tcW w:w="7182" w:type="dxa"/>
            <w:gridSpan w:val="5"/>
            <w:noWrap w:val="0"/>
            <w:vAlign w:val="center"/>
          </w:tcPr>
          <w:p>
            <w:pPr>
              <w:keepNext w:val="0"/>
              <w:keepLines w:val="0"/>
              <w:pageBreakBefore w:val="0"/>
              <w:kinsoku/>
              <w:wordWrap/>
              <w:overflowPunct/>
              <w:topLinePunct w:val="0"/>
              <w:autoSpaceDE/>
              <w:autoSpaceDN/>
              <w:bidi w:val="0"/>
              <w:adjustRightInd w:val="0"/>
              <w:snapToGrid w:val="0"/>
              <w:spacing w:line="20" w:lineRule="atLeast"/>
              <w:jc w:val="left"/>
              <w:textAlignment w:val="auto"/>
              <w:rPr>
                <w:rFonts w:hint="eastAsia" w:ascii="宋体" w:hAnsi="宋体"/>
                <w:szCs w:val="21"/>
              </w:rPr>
            </w:pPr>
            <w:r>
              <w:rPr>
                <w:rFonts w:hint="eastAsia" w:ascii="宋体" w:hAnsi="宋体"/>
                <w:szCs w:val="21"/>
                <w:lang w:val="en-US" w:eastAsia="zh-CN"/>
              </w:rPr>
              <w:t>A.</w:t>
            </w:r>
            <w:r>
              <w:rPr>
                <w:rFonts w:hint="eastAsia" w:ascii="宋体" w:hAnsi="宋体"/>
                <w:szCs w:val="21"/>
              </w:rPr>
              <w:t>提供</w:t>
            </w:r>
            <w:r>
              <w:rPr>
                <w:rFonts w:hint="eastAsia" w:ascii="宋体" w:hAnsi="宋体"/>
                <w:szCs w:val="21"/>
                <w:lang w:val="en-US" w:eastAsia="zh-CN"/>
              </w:rPr>
              <w:t>20</w:t>
            </w:r>
            <w:r>
              <w:rPr>
                <w:rFonts w:hint="eastAsia" w:ascii="宋体" w:hAnsi="宋体"/>
                <w:szCs w:val="21"/>
              </w:rPr>
              <w:t>0人以内的会场及相关基础设施；</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575" w:hRule="atLeast"/>
          <w:jc w:val="center"/>
        </w:trPr>
        <w:tc>
          <w:tcPr>
            <w:tcW w:w="1058"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p>
        </w:tc>
        <w:tc>
          <w:tcPr>
            <w:tcW w:w="7182" w:type="dxa"/>
            <w:gridSpan w:val="5"/>
            <w:noWrap w:val="0"/>
            <w:vAlign w:val="center"/>
          </w:tcPr>
          <w:p>
            <w:pPr>
              <w:keepNext w:val="0"/>
              <w:keepLines w:val="0"/>
              <w:pageBreakBefore w:val="0"/>
              <w:kinsoku/>
              <w:wordWrap/>
              <w:overflowPunct/>
              <w:topLinePunct w:val="0"/>
              <w:autoSpaceDE/>
              <w:autoSpaceDN/>
              <w:bidi w:val="0"/>
              <w:adjustRightInd w:val="0"/>
              <w:snapToGrid w:val="0"/>
              <w:spacing w:line="20" w:lineRule="atLeast"/>
              <w:jc w:val="left"/>
              <w:textAlignment w:val="auto"/>
              <w:rPr>
                <w:rFonts w:hint="eastAsia" w:ascii="宋体" w:hAnsi="宋体"/>
                <w:szCs w:val="21"/>
              </w:rPr>
            </w:pPr>
            <w:r>
              <w:rPr>
                <w:rFonts w:hint="eastAsia" w:ascii="宋体" w:hAnsi="宋体"/>
                <w:szCs w:val="21"/>
                <w:lang w:val="en-US" w:eastAsia="zh-CN"/>
              </w:rPr>
              <w:t>B.</w:t>
            </w:r>
            <w:r>
              <w:rPr>
                <w:rFonts w:hint="eastAsia" w:ascii="宋体" w:hAnsi="宋体"/>
                <w:szCs w:val="21"/>
              </w:rPr>
              <w:t>提供电源，投影仪，音响，麦克等；</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683" w:hRule="atLeast"/>
          <w:jc w:val="center"/>
        </w:trPr>
        <w:tc>
          <w:tcPr>
            <w:tcW w:w="1058"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hint="eastAsia" w:ascii="宋体" w:hAnsi="宋体"/>
                <w:szCs w:val="21"/>
              </w:rPr>
            </w:pPr>
          </w:p>
        </w:tc>
        <w:tc>
          <w:tcPr>
            <w:tcW w:w="7182" w:type="dxa"/>
            <w:gridSpan w:val="5"/>
            <w:noWrap w:val="0"/>
            <w:vAlign w:val="center"/>
          </w:tcPr>
          <w:p>
            <w:pPr>
              <w:keepNext w:val="0"/>
              <w:keepLines w:val="0"/>
              <w:pageBreakBefore w:val="0"/>
              <w:kinsoku/>
              <w:wordWrap/>
              <w:overflowPunct/>
              <w:topLinePunct w:val="0"/>
              <w:autoSpaceDE/>
              <w:autoSpaceDN/>
              <w:bidi w:val="0"/>
              <w:adjustRightInd w:val="0"/>
              <w:snapToGrid w:val="0"/>
              <w:spacing w:line="20" w:lineRule="atLeast"/>
              <w:jc w:val="left"/>
              <w:textAlignment w:val="auto"/>
              <w:rPr>
                <w:rFonts w:hint="eastAsia" w:ascii="宋体" w:hAnsi="宋体"/>
                <w:szCs w:val="21"/>
              </w:rPr>
            </w:pPr>
            <w:r>
              <w:rPr>
                <w:rFonts w:hint="eastAsia" w:ascii="宋体" w:hAnsi="宋体"/>
                <w:szCs w:val="21"/>
                <w:lang w:val="en-US" w:eastAsia="zh-CN"/>
              </w:rPr>
              <w:t>C.</w:t>
            </w:r>
            <w:r>
              <w:rPr>
                <w:rFonts w:hint="eastAsia" w:ascii="宋体" w:hAnsi="宋体"/>
                <w:szCs w:val="21"/>
              </w:rPr>
              <w:t>提供会场引导以及说明牌广告位；</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563" w:hRule="atLeast"/>
          <w:jc w:val="center"/>
        </w:trPr>
        <w:tc>
          <w:tcPr>
            <w:tcW w:w="1058"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20" w:lineRule="atLeast"/>
              <w:jc w:val="center"/>
              <w:textAlignment w:val="auto"/>
              <w:rPr>
                <w:rFonts w:ascii="宋体"/>
                <w:color w:val="000000"/>
                <w:szCs w:val="21"/>
              </w:rPr>
            </w:pPr>
          </w:p>
        </w:tc>
        <w:tc>
          <w:tcPr>
            <w:tcW w:w="7182" w:type="dxa"/>
            <w:gridSpan w:val="5"/>
            <w:noWrap w:val="0"/>
            <w:vAlign w:val="center"/>
          </w:tcPr>
          <w:p>
            <w:pPr>
              <w:keepNext w:val="0"/>
              <w:keepLines w:val="0"/>
              <w:pageBreakBefore w:val="0"/>
              <w:kinsoku/>
              <w:wordWrap/>
              <w:overflowPunct/>
              <w:topLinePunct w:val="0"/>
              <w:autoSpaceDE/>
              <w:autoSpaceDN/>
              <w:bidi w:val="0"/>
              <w:adjustRightInd w:val="0"/>
              <w:snapToGrid w:val="0"/>
              <w:spacing w:line="20" w:lineRule="atLeast"/>
              <w:jc w:val="left"/>
              <w:textAlignment w:val="auto"/>
              <w:rPr>
                <w:rFonts w:hint="eastAsia" w:ascii="宋体" w:hAnsi="宋体"/>
                <w:sz w:val="21"/>
                <w:szCs w:val="21"/>
              </w:rPr>
            </w:pPr>
            <w:r>
              <w:rPr>
                <w:rFonts w:hint="eastAsia" w:ascii="宋体" w:hAnsi="宋体"/>
                <w:szCs w:val="21"/>
                <w:lang w:val="en-US" w:eastAsia="zh-CN"/>
              </w:rPr>
              <w:t>D.</w:t>
            </w:r>
            <w:r>
              <w:rPr>
                <w:rFonts w:hint="eastAsia" w:ascii="宋体" w:hAnsi="宋体"/>
                <w:szCs w:val="21"/>
              </w:rPr>
              <w:t>免费提供会前的馆内广播通告和观众组织；</w:t>
            </w:r>
          </w:p>
        </w:tc>
      </w:tr>
    </w:tbl>
    <w:p>
      <w:pPr>
        <w:keepNext w:val="0"/>
        <w:keepLines w:val="0"/>
        <w:pageBreakBefore w:val="0"/>
        <w:widowControl w:val="0"/>
        <w:kinsoku/>
        <w:wordWrap/>
        <w:overflowPunct/>
        <w:topLinePunct w:val="0"/>
        <w:autoSpaceDE/>
        <w:autoSpaceDN/>
        <w:bidi w:val="0"/>
        <w:adjustRightInd/>
        <w:snapToGrid/>
        <w:spacing w:line="20" w:lineRule="atLeast"/>
        <w:textAlignment w:val="auto"/>
        <w:rPr>
          <w:rFonts w:hint="eastAsia" w:ascii="黑体" w:hAnsi="黑体" w:eastAsia="黑体" w:cs="黑体"/>
          <w:b/>
          <w:bCs/>
          <w:color w:val="FF0000"/>
          <w:sz w:val="22"/>
          <w:szCs w:val="24"/>
          <w:lang w:val="zh-CN" w:eastAsia="zh-CN"/>
        </w:rPr>
      </w:pPr>
      <w:r>
        <w:rPr>
          <w:rFonts w:hint="eastAsia" w:ascii="黑体" w:hAnsi="黑体" w:eastAsia="黑体" w:cs="黑体"/>
          <w:b/>
          <w:bCs/>
          <w:color w:val="FF0000"/>
          <w:sz w:val="22"/>
          <w:szCs w:val="24"/>
          <w:lang w:val="zh-CN" w:eastAsia="zh-CN"/>
        </w:rPr>
        <w:t>【</w:t>
      </w:r>
      <w:r>
        <w:rPr>
          <w:rFonts w:hint="eastAsia" w:ascii="黑体" w:hAnsi="黑体" w:eastAsia="黑体" w:cs="黑体"/>
          <w:b/>
          <w:bCs/>
          <w:color w:val="FF0000"/>
          <w:sz w:val="22"/>
          <w:szCs w:val="24"/>
          <w:lang w:val="en-US" w:eastAsia="zh-CN"/>
        </w:rPr>
        <w:t>参展程序</w:t>
      </w:r>
      <w:r>
        <w:rPr>
          <w:rFonts w:hint="eastAsia" w:ascii="黑体" w:hAnsi="黑体" w:eastAsia="黑体" w:cs="黑体"/>
          <w:b/>
          <w:bCs/>
          <w:color w:val="FF0000"/>
          <w:sz w:val="22"/>
          <w:szCs w:val="24"/>
          <w:lang w:val="zh-CN"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atLeast"/>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1、参展的品种应具备生产和经营有效期内的《营业执照》、《商标注册证》、《商标授权证》以及产品合法审批文件等。参展产品质量经过国家认可检测机构检测符合相关标准。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atLeast"/>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2、展位安排将以“先申请、先付款、先确认”的原则。填写申请及合约表，加盖公章后传真或邮寄至组委会，申请表一经签字盖章后同具合同效力，传真或复印件有效。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atLeast"/>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3、递交参展申请表后五个工作日内请将参展费款项汇入组委会逾期展位将不予保留。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atLeast"/>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4、组委会根据会场的整体效果和安全消防的需要，有权调整部分已确认展位。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atLeast"/>
        <w:ind w:right="0"/>
        <w:jc w:val="lef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5.组委会</w:t>
      </w:r>
      <w:r>
        <w:rPr>
          <w:rFonts w:hint="eastAsia" w:ascii="黑体" w:hAnsi="黑体" w:eastAsia="黑体" w:cs="黑体"/>
          <w:b w:val="0"/>
          <w:bCs w:val="0"/>
          <w:color w:val="auto"/>
          <w:sz w:val="22"/>
          <w:szCs w:val="24"/>
          <w:lang w:val="zh-CN" w:eastAsia="zh-CN"/>
        </w:rPr>
        <w:t>会前30天将《参展手册》（有关日程安排、展品运输、酒店接待、展台搭建等事项）电子版至参展商。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atLeast"/>
        <w:ind w:right="0"/>
        <w:jc w:val="left"/>
        <w:textAlignment w:val="auto"/>
        <w:rPr>
          <w:rFonts w:hint="eastAsia" w:ascii="黑体" w:hAnsi="黑体" w:eastAsia="黑体" w:cs="黑体"/>
          <w:b w:val="0"/>
          <w:bCs w:val="0"/>
          <w:color w:val="auto"/>
          <w:sz w:val="22"/>
          <w:szCs w:val="24"/>
          <w:lang w:val="zh-CN" w:eastAsia="zh-CN"/>
        </w:rPr>
      </w:pPr>
      <w:r>
        <w:rPr>
          <w:rFonts w:hint="eastAsia" w:ascii="黑体" w:hAnsi="黑体" w:eastAsia="黑体" w:cs="黑体"/>
          <w:b w:val="0"/>
          <w:bCs w:val="0"/>
          <w:color w:val="auto"/>
          <w:sz w:val="22"/>
          <w:szCs w:val="24"/>
          <w:lang w:val="en-US" w:eastAsia="zh-CN"/>
        </w:rPr>
        <w:t>6.</w:t>
      </w:r>
      <w:r>
        <w:rPr>
          <w:rFonts w:hint="eastAsia" w:ascii="黑体" w:hAnsi="黑体" w:eastAsia="黑体" w:cs="黑体"/>
          <w:b w:val="0"/>
          <w:bCs w:val="0"/>
          <w:color w:val="auto"/>
          <w:sz w:val="22"/>
          <w:szCs w:val="24"/>
          <w:lang w:val="zh-CN" w:eastAsia="zh-CN"/>
        </w:rPr>
        <w:t>特别提示：所租展位严禁转租、转售展位，不准展出假冒侵权产品。以及在展厅内现场出售其他商品，一经发现将取消参展资格，展位费用不再退还，不准在通道上堆放物品。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atLeast"/>
        <w:ind w:right="0"/>
        <w:jc w:val="left"/>
        <w:textAlignment w:val="auto"/>
        <w:rPr>
          <w:rFonts w:hint="eastAsia" w:ascii="黑体" w:hAnsi="黑体" w:eastAsia="黑体" w:cs="黑体"/>
          <w:b/>
          <w:bCs/>
          <w:color w:val="FF0000"/>
          <w:sz w:val="22"/>
          <w:szCs w:val="24"/>
          <w:lang w:val="en-US" w:eastAsia="zh-CN"/>
        </w:rPr>
      </w:pPr>
      <w:r>
        <w:rPr>
          <w:rFonts w:hint="eastAsia" w:ascii="黑体" w:hAnsi="黑体" w:eastAsia="黑体" w:cs="黑体"/>
          <w:b/>
          <w:bCs/>
          <w:color w:val="FF0000"/>
          <w:sz w:val="22"/>
          <w:szCs w:val="24"/>
          <w:lang w:val="zh-CN" w:eastAsia="zh-CN"/>
        </w:rPr>
        <w:t>【组委会</w:t>
      </w:r>
      <w:r>
        <w:rPr>
          <w:rFonts w:hint="eastAsia" w:ascii="黑体" w:hAnsi="黑体" w:eastAsia="黑体" w:cs="黑体"/>
          <w:b/>
          <w:bCs/>
          <w:color w:val="FF0000"/>
          <w:sz w:val="22"/>
          <w:szCs w:val="24"/>
          <w:lang w:val="en-US" w:eastAsia="zh-CN"/>
        </w:rPr>
        <w:t>展览展示部</w:t>
      </w:r>
      <w:r>
        <w:rPr>
          <w:rFonts w:hint="eastAsia" w:ascii="黑体" w:hAnsi="黑体" w:eastAsia="黑体" w:cs="黑体"/>
          <w:b/>
          <w:bCs/>
          <w:color w:val="FF0000"/>
          <w:sz w:val="22"/>
          <w:szCs w:val="24"/>
          <w:lang w:val="zh-CN" w:eastAsia="zh-CN"/>
        </w:rPr>
        <w:t>】</w:t>
      </w:r>
    </w:p>
    <w:p>
      <w:pPr>
        <w:keepNext w:val="0"/>
        <w:keepLines w:val="0"/>
        <w:pageBreakBefore w:val="0"/>
        <w:kinsoku/>
        <w:wordWrap/>
        <w:overflowPunct/>
        <w:topLinePunct w:val="0"/>
        <w:autoSpaceDE/>
        <w:autoSpaceDN/>
        <w:bidi w:val="0"/>
        <w:adjustRightInd/>
        <w:snapToGrid/>
        <w:spacing w:line="20" w:lineRule="atLeast"/>
        <w:textAlignment w:val="auto"/>
        <w:rPr>
          <w:rFonts w:hint="default"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地  址：江西省南昌市红谷滩新区世贸路999号金久国际大厦A座16F</w:t>
      </w:r>
    </w:p>
    <w:p>
      <w:pPr>
        <w:keepNext w:val="0"/>
        <w:keepLines w:val="0"/>
        <w:pageBreakBefore w:val="0"/>
        <w:kinsoku/>
        <w:wordWrap/>
        <w:overflowPunct/>
        <w:topLinePunct w:val="0"/>
        <w:autoSpaceDE/>
        <w:autoSpaceDN/>
        <w:bidi w:val="0"/>
        <w:adjustRightInd/>
        <w:snapToGrid/>
        <w:spacing w:line="20" w:lineRule="atLeast"/>
        <w:textAlignment w:val="auto"/>
        <w:rPr>
          <w:rFonts w:hint="default"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电  话：13879191703</w:t>
      </w:r>
    </w:p>
    <w:p>
      <w:pPr>
        <w:keepNext w:val="0"/>
        <w:keepLines w:val="0"/>
        <w:pageBreakBefore w:val="0"/>
        <w:kinsoku/>
        <w:wordWrap/>
        <w:overflowPunct/>
        <w:topLinePunct w:val="0"/>
        <w:autoSpaceDE/>
        <w:autoSpaceDN/>
        <w:bidi w:val="0"/>
        <w:adjustRightInd/>
        <w:snapToGrid/>
        <w:spacing w:line="20" w:lineRule="atLeast"/>
        <w:textAlignment w:val="auto"/>
        <w:rPr>
          <w:rFonts w:hint="default"/>
          <w:lang w:val="en-US" w:eastAsia="zh-CN"/>
        </w:rPr>
      </w:pPr>
      <w:r>
        <w:rPr>
          <w:rFonts w:hint="eastAsia" w:ascii="黑体" w:hAnsi="黑体" w:eastAsia="黑体" w:cs="黑体"/>
          <w:b w:val="0"/>
          <w:bCs w:val="0"/>
          <w:color w:val="auto"/>
          <w:sz w:val="22"/>
          <w:szCs w:val="24"/>
          <w:lang w:val="en-US" w:eastAsia="zh-CN"/>
        </w:rPr>
        <w:t>E-mail：1405516137@qq.com</w:t>
      </w:r>
    </w:p>
    <w:p>
      <w:pPr>
        <w:keepNext w:val="0"/>
        <w:keepLines w:val="0"/>
        <w:pageBreakBefore w:val="0"/>
        <w:kinsoku/>
        <w:wordWrap/>
        <w:overflowPunct/>
        <w:topLinePunct w:val="0"/>
        <w:autoSpaceDE/>
        <w:autoSpaceDN/>
        <w:bidi w:val="0"/>
        <w:adjustRightInd/>
        <w:snapToGrid/>
        <w:spacing w:line="20" w:lineRule="atLeast"/>
        <w:textAlignment w:val="auto"/>
        <w:rPr>
          <w:rFonts w:hint="eastAsia" w:ascii="黑体" w:hAnsi="黑体" w:eastAsia="黑体" w:cs="黑体"/>
          <w:b w:val="0"/>
          <w:bCs w:val="0"/>
          <w:color w:val="auto"/>
          <w:sz w:val="22"/>
          <w:szCs w:val="24"/>
          <w:lang w:val="en-US" w:eastAsia="zh-CN"/>
        </w:rPr>
      </w:pPr>
      <w:r>
        <w:rPr>
          <w:rFonts w:hint="eastAsia" w:ascii="黑体" w:hAnsi="黑体" w:eastAsia="黑体" w:cs="黑体"/>
          <w:b w:val="0"/>
          <w:bCs w:val="0"/>
          <w:color w:val="auto"/>
          <w:sz w:val="22"/>
          <w:szCs w:val="24"/>
          <w:lang w:val="en-US" w:eastAsia="zh-CN"/>
        </w:rPr>
        <w:t>联系人：肖潇</w:t>
      </w:r>
      <w:bookmarkStart w:id="0" w:name="_GoBack"/>
      <w:bookmarkEnd w:id="0"/>
      <w:r>
        <w:rPr>
          <w:rFonts w:hint="eastAsia" w:ascii="黑体" w:hAnsi="黑体" w:eastAsia="黑体" w:cs="黑体"/>
          <w:b w:val="0"/>
          <w:bCs w:val="0"/>
          <w:color w:val="auto"/>
          <w:sz w:val="22"/>
          <w:szCs w:val="24"/>
          <w:lang w:val="en-US" w:eastAsia="zh-CN"/>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left"/>
        <w:rPr>
          <w:rFonts w:hint="eastAsia" w:ascii="黑体" w:hAnsi="黑体" w:eastAsia="黑体" w:cs="黑体"/>
          <w:b w:val="0"/>
          <w:bCs w:val="0"/>
          <w:color w:val="auto"/>
          <w:sz w:val="22"/>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A06807"/>
    <w:rsid w:val="003952C5"/>
    <w:rsid w:val="00747073"/>
    <w:rsid w:val="01077921"/>
    <w:rsid w:val="01495BBA"/>
    <w:rsid w:val="015F10C7"/>
    <w:rsid w:val="01F82A2C"/>
    <w:rsid w:val="026F64B2"/>
    <w:rsid w:val="02A34776"/>
    <w:rsid w:val="03C624BA"/>
    <w:rsid w:val="03CA3A36"/>
    <w:rsid w:val="03D05053"/>
    <w:rsid w:val="04253951"/>
    <w:rsid w:val="04CE4BA5"/>
    <w:rsid w:val="0554400D"/>
    <w:rsid w:val="05CE27C9"/>
    <w:rsid w:val="05F961DF"/>
    <w:rsid w:val="079C59A6"/>
    <w:rsid w:val="07C94888"/>
    <w:rsid w:val="07D63D09"/>
    <w:rsid w:val="083A7ED1"/>
    <w:rsid w:val="0876169B"/>
    <w:rsid w:val="08A06807"/>
    <w:rsid w:val="08CC31BD"/>
    <w:rsid w:val="090A3675"/>
    <w:rsid w:val="092967F8"/>
    <w:rsid w:val="09D339F0"/>
    <w:rsid w:val="09EE6D28"/>
    <w:rsid w:val="0A702FB5"/>
    <w:rsid w:val="0B0001AF"/>
    <w:rsid w:val="0B9D2D20"/>
    <w:rsid w:val="0C3F2834"/>
    <w:rsid w:val="0D107B34"/>
    <w:rsid w:val="0EF528B0"/>
    <w:rsid w:val="0F061972"/>
    <w:rsid w:val="0F156BEB"/>
    <w:rsid w:val="0F361FC7"/>
    <w:rsid w:val="0F4950CA"/>
    <w:rsid w:val="101939AD"/>
    <w:rsid w:val="10F50276"/>
    <w:rsid w:val="111B2D6B"/>
    <w:rsid w:val="12137734"/>
    <w:rsid w:val="12141885"/>
    <w:rsid w:val="138F6232"/>
    <w:rsid w:val="14856F2F"/>
    <w:rsid w:val="1493747C"/>
    <w:rsid w:val="159F278F"/>
    <w:rsid w:val="165F52CA"/>
    <w:rsid w:val="1707064D"/>
    <w:rsid w:val="172F68DA"/>
    <w:rsid w:val="17B44AEB"/>
    <w:rsid w:val="18A72C5C"/>
    <w:rsid w:val="1912360E"/>
    <w:rsid w:val="1B585B05"/>
    <w:rsid w:val="1B72294F"/>
    <w:rsid w:val="1C2350B8"/>
    <w:rsid w:val="1C476813"/>
    <w:rsid w:val="1CBD4223"/>
    <w:rsid w:val="1CCD23E1"/>
    <w:rsid w:val="1D590EB2"/>
    <w:rsid w:val="1DD7743E"/>
    <w:rsid w:val="1DE1657E"/>
    <w:rsid w:val="1E4D4AC6"/>
    <w:rsid w:val="1E576965"/>
    <w:rsid w:val="1EB44549"/>
    <w:rsid w:val="1F2C2567"/>
    <w:rsid w:val="1F406D68"/>
    <w:rsid w:val="1FDD164E"/>
    <w:rsid w:val="20602247"/>
    <w:rsid w:val="20A328D2"/>
    <w:rsid w:val="20B2743F"/>
    <w:rsid w:val="21546B23"/>
    <w:rsid w:val="218D4384"/>
    <w:rsid w:val="22DB6EA8"/>
    <w:rsid w:val="237A3996"/>
    <w:rsid w:val="23CB6450"/>
    <w:rsid w:val="24223CF5"/>
    <w:rsid w:val="24F64E78"/>
    <w:rsid w:val="252A1783"/>
    <w:rsid w:val="256C19CE"/>
    <w:rsid w:val="25C30D21"/>
    <w:rsid w:val="25D873C4"/>
    <w:rsid w:val="263E7E4C"/>
    <w:rsid w:val="26853DF5"/>
    <w:rsid w:val="26AB05F2"/>
    <w:rsid w:val="26B0707E"/>
    <w:rsid w:val="26B12B51"/>
    <w:rsid w:val="27C74640"/>
    <w:rsid w:val="284D6F5C"/>
    <w:rsid w:val="28526530"/>
    <w:rsid w:val="29186A0A"/>
    <w:rsid w:val="29A15D23"/>
    <w:rsid w:val="29B71118"/>
    <w:rsid w:val="2A747D6F"/>
    <w:rsid w:val="2B60654F"/>
    <w:rsid w:val="2E146B9B"/>
    <w:rsid w:val="300B73A2"/>
    <w:rsid w:val="30E11AEF"/>
    <w:rsid w:val="337025D5"/>
    <w:rsid w:val="33714442"/>
    <w:rsid w:val="355E0DF0"/>
    <w:rsid w:val="35620C92"/>
    <w:rsid w:val="35BA22C5"/>
    <w:rsid w:val="363F0F0C"/>
    <w:rsid w:val="36EF018D"/>
    <w:rsid w:val="37076EFB"/>
    <w:rsid w:val="37BB7C2E"/>
    <w:rsid w:val="38743616"/>
    <w:rsid w:val="38AA15FC"/>
    <w:rsid w:val="39F656E4"/>
    <w:rsid w:val="3B112A86"/>
    <w:rsid w:val="3CE70AEA"/>
    <w:rsid w:val="3DDB154A"/>
    <w:rsid w:val="3DE2428B"/>
    <w:rsid w:val="3E1C7780"/>
    <w:rsid w:val="3EDC6FAB"/>
    <w:rsid w:val="3EDD3F98"/>
    <w:rsid w:val="3F5C1FDF"/>
    <w:rsid w:val="403B7A04"/>
    <w:rsid w:val="405D491E"/>
    <w:rsid w:val="40A66673"/>
    <w:rsid w:val="40A854A8"/>
    <w:rsid w:val="40AD379A"/>
    <w:rsid w:val="40D00597"/>
    <w:rsid w:val="410D3B5B"/>
    <w:rsid w:val="411F73F7"/>
    <w:rsid w:val="418A618A"/>
    <w:rsid w:val="41DA08DD"/>
    <w:rsid w:val="420A1948"/>
    <w:rsid w:val="42980B08"/>
    <w:rsid w:val="42DD73FE"/>
    <w:rsid w:val="438F3F36"/>
    <w:rsid w:val="43E817DB"/>
    <w:rsid w:val="43FC519D"/>
    <w:rsid w:val="44775A98"/>
    <w:rsid w:val="457F5027"/>
    <w:rsid w:val="46397C5C"/>
    <w:rsid w:val="465415A5"/>
    <w:rsid w:val="468724BB"/>
    <w:rsid w:val="46DA7E5E"/>
    <w:rsid w:val="47606A51"/>
    <w:rsid w:val="47853C5E"/>
    <w:rsid w:val="48413600"/>
    <w:rsid w:val="48651955"/>
    <w:rsid w:val="49BD3C38"/>
    <w:rsid w:val="4A3D7C0D"/>
    <w:rsid w:val="4A4E6A63"/>
    <w:rsid w:val="4A737119"/>
    <w:rsid w:val="4AD166D8"/>
    <w:rsid w:val="4B5B0BF6"/>
    <w:rsid w:val="4C6156D7"/>
    <w:rsid w:val="4CE9590D"/>
    <w:rsid w:val="4F146320"/>
    <w:rsid w:val="4F3F5778"/>
    <w:rsid w:val="5092524A"/>
    <w:rsid w:val="513C3E86"/>
    <w:rsid w:val="518A7C2E"/>
    <w:rsid w:val="51D23E0D"/>
    <w:rsid w:val="51F960F1"/>
    <w:rsid w:val="520277A0"/>
    <w:rsid w:val="535D7F23"/>
    <w:rsid w:val="53952825"/>
    <w:rsid w:val="55A84DB3"/>
    <w:rsid w:val="55B91C4F"/>
    <w:rsid w:val="55FA3FAF"/>
    <w:rsid w:val="56FA5769"/>
    <w:rsid w:val="57846F02"/>
    <w:rsid w:val="57BA39E0"/>
    <w:rsid w:val="57FB7505"/>
    <w:rsid w:val="58614D4C"/>
    <w:rsid w:val="58654EF9"/>
    <w:rsid w:val="58745EDD"/>
    <w:rsid w:val="59CB3E3F"/>
    <w:rsid w:val="5A771496"/>
    <w:rsid w:val="5AC95B18"/>
    <w:rsid w:val="5B147CE4"/>
    <w:rsid w:val="5BAC56C2"/>
    <w:rsid w:val="5C407639"/>
    <w:rsid w:val="5C684212"/>
    <w:rsid w:val="5CDA1E83"/>
    <w:rsid w:val="5DA823BB"/>
    <w:rsid w:val="5DBA09B1"/>
    <w:rsid w:val="5E0C4C44"/>
    <w:rsid w:val="5E217A8E"/>
    <w:rsid w:val="5E7155CA"/>
    <w:rsid w:val="5F4D7EB5"/>
    <w:rsid w:val="5F5A6D0B"/>
    <w:rsid w:val="60495C16"/>
    <w:rsid w:val="60E30DEF"/>
    <w:rsid w:val="610F3573"/>
    <w:rsid w:val="610F604D"/>
    <w:rsid w:val="61FB22DA"/>
    <w:rsid w:val="6214766D"/>
    <w:rsid w:val="62B85CA9"/>
    <w:rsid w:val="62D146DB"/>
    <w:rsid w:val="634F159D"/>
    <w:rsid w:val="63694F23"/>
    <w:rsid w:val="636E7E4F"/>
    <w:rsid w:val="63F92D8F"/>
    <w:rsid w:val="654C0F91"/>
    <w:rsid w:val="66E56822"/>
    <w:rsid w:val="67B04FA2"/>
    <w:rsid w:val="684568E3"/>
    <w:rsid w:val="69CC5D03"/>
    <w:rsid w:val="6A2133F4"/>
    <w:rsid w:val="6A9A7D23"/>
    <w:rsid w:val="6B060987"/>
    <w:rsid w:val="6BAE4B27"/>
    <w:rsid w:val="6BD54AA2"/>
    <w:rsid w:val="6BE920E7"/>
    <w:rsid w:val="6C035188"/>
    <w:rsid w:val="6E505D26"/>
    <w:rsid w:val="6E752C7F"/>
    <w:rsid w:val="6F1574D2"/>
    <w:rsid w:val="6F2760BC"/>
    <w:rsid w:val="6FF24754"/>
    <w:rsid w:val="709C43EB"/>
    <w:rsid w:val="70C16E82"/>
    <w:rsid w:val="70C26D29"/>
    <w:rsid w:val="712809C5"/>
    <w:rsid w:val="718022A1"/>
    <w:rsid w:val="725E0F8F"/>
    <w:rsid w:val="727B7A99"/>
    <w:rsid w:val="727C487D"/>
    <w:rsid w:val="7305724E"/>
    <w:rsid w:val="735149C9"/>
    <w:rsid w:val="7355117E"/>
    <w:rsid w:val="76C57E67"/>
    <w:rsid w:val="77CC63F9"/>
    <w:rsid w:val="78006526"/>
    <w:rsid w:val="78EF330B"/>
    <w:rsid w:val="7918486D"/>
    <w:rsid w:val="7A4B556B"/>
    <w:rsid w:val="7B40045D"/>
    <w:rsid w:val="7B9566EC"/>
    <w:rsid w:val="7BF12D23"/>
    <w:rsid w:val="7BF5002A"/>
    <w:rsid w:val="7BF76D00"/>
    <w:rsid w:val="7C2B2E4C"/>
    <w:rsid w:val="7C7E0338"/>
    <w:rsid w:val="7CD2175B"/>
    <w:rsid w:val="7CE247EB"/>
    <w:rsid w:val="7D7B44A3"/>
    <w:rsid w:val="7EA8672C"/>
    <w:rsid w:val="7FB83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semiHidden/>
    <w:qFormat/>
    <w:uiPriority w:val="0"/>
    <w:pPr>
      <w:ind w:left="420" w:leftChars="200"/>
    </w:pPr>
    <w:rPr>
      <w:rFonts w:ascii="Calibri" w:hAnsi="Calibri" w:eastAsia="宋体" w:cs="Times New Roman"/>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2710</Words>
  <Characters>2946</Characters>
  <Lines>0</Lines>
  <Paragraphs>0</Paragraphs>
  <TotalTime>45</TotalTime>
  <ScaleCrop>false</ScaleCrop>
  <LinksUpToDate>false</LinksUpToDate>
  <CharactersWithSpaces>3035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2021-01-06T02:54:00Z</dcterms:created>
  <dc:creator>WPS_1527842169</dc:creator>
  <cp:lastModifiedBy>COMPUTER</cp:lastModifiedBy>
  <dcterms:modified xsi:type="dcterms:W3CDTF">2022-03-28T01:31:28Z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9DB5BFD340D34D97ACD51D44DC577D2E</vt:lpwstr>
  </property>
</Properties>
</file>